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34700" w14:textId="77777777" w:rsidR="00AB66F9" w:rsidRPr="00080145" w:rsidRDefault="00F10EA3" w:rsidP="00200B8B">
      <w:pPr>
        <w:spacing w:before="240" w:after="120" w:line="276" w:lineRule="auto"/>
        <w:ind w:left="737"/>
        <w:rPr>
          <w:b/>
          <w:color w:val="auto"/>
          <w:sz w:val="40"/>
        </w:rPr>
      </w:pPr>
      <w:bookmarkStart w:id="0" w:name="_Hlk54872181"/>
      <w:bookmarkEnd w:id="0"/>
      <w:r w:rsidRPr="00080145">
        <w:rPr>
          <w:b/>
          <w:color w:val="auto"/>
          <w:sz w:val="40"/>
        </w:rPr>
        <w:t>Data/Information Sharing Agreement</w:t>
      </w:r>
      <w:r w:rsidR="00817198" w:rsidRPr="00080145">
        <w:rPr>
          <w:b/>
          <w:color w:val="auto"/>
          <w:sz w:val="40"/>
        </w:rPr>
        <w:t xml:space="preserve"> - </w:t>
      </w:r>
      <w:r w:rsidR="00AB66F9" w:rsidRPr="00080145">
        <w:rPr>
          <w:b/>
          <w:color w:val="auto"/>
          <w:sz w:val="40"/>
        </w:rPr>
        <w:t>Multi-Agency Safeguarding</w:t>
      </w:r>
      <w:r w:rsidR="00DC3241" w:rsidRPr="00080145">
        <w:rPr>
          <w:b/>
          <w:color w:val="auto"/>
          <w:sz w:val="40"/>
        </w:rPr>
        <w:t xml:space="preserve"> (MAS)</w:t>
      </w:r>
    </w:p>
    <w:sdt>
      <w:sdtPr>
        <w:rPr>
          <w:rFonts w:eastAsia="MS Mincho" w:cs="Arial"/>
          <w:b w:val="0"/>
          <w:bCs w:val="0"/>
          <w:color w:val="000000"/>
          <w:spacing w:val="0"/>
          <w:sz w:val="22"/>
          <w:szCs w:val="22"/>
          <w:lang w:eastAsia="en-US"/>
        </w:rPr>
        <w:id w:val="1089585286"/>
        <w:docPartObj>
          <w:docPartGallery w:val="Table of Contents"/>
          <w:docPartUnique/>
        </w:docPartObj>
      </w:sdtPr>
      <w:sdtEndPr/>
      <w:sdtContent>
        <w:p w14:paraId="5E3A61E8" w14:textId="7914727D" w:rsidR="00A52375" w:rsidRPr="00080145" w:rsidRDefault="00A52375">
          <w:pPr>
            <w:pStyle w:val="TOCHeading"/>
          </w:pPr>
          <w:r w:rsidRPr="00080145">
            <w:t>Contents</w:t>
          </w:r>
        </w:p>
        <w:p w14:paraId="69336839" w14:textId="40ACA9B5" w:rsidR="008A7AE9" w:rsidRDefault="00A52375">
          <w:pPr>
            <w:pStyle w:val="TOC1"/>
            <w:rPr>
              <w:rFonts w:asciiTheme="minorHAnsi" w:eastAsiaTheme="minorEastAsia" w:hAnsiTheme="minorHAnsi" w:cstheme="minorBidi"/>
              <w:b w:val="0"/>
              <w:color w:val="auto"/>
              <w:sz w:val="22"/>
              <w:lang w:eastAsia="en-GB"/>
            </w:rPr>
          </w:pPr>
          <w:r w:rsidRPr="00080145">
            <w:rPr>
              <w:noProof w:val="0"/>
            </w:rPr>
            <w:fldChar w:fldCharType="begin"/>
          </w:r>
          <w:r w:rsidRPr="00080145">
            <w:rPr>
              <w:noProof w:val="0"/>
            </w:rPr>
            <w:instrText xml:space="preserve"> TOC \o "1-3" \h \z \u </w:instrText>
          </w:r>
          <w:r w:rsidRPr="00080145">
            <w:rPr>
              <w:noProof w:val="0"/>
            </w:rPr>
            <w:fldChar w:fldCharType="separate"/>
          </w:r>
          <w:hyperlink w:anchor="_Toc59206173" w:history="1">
            <w:r w:rsidR="008A7AE9" w:rsidRPr="006D1981">
              <w:rPr>
                <w:rStyle w:val="Hyperlink"/>
              </w:rPr>
              <w:t>1.</w:t>
            </w:r>
            <w:r w:rsidR="008A7AE9">
              <w:rPr>
                <w:rFonts w:asciiTheme="minorHAnsi" w:eastAsiaTheme="minorEastAsia" w:hAnsiTheme="minorHAnsi" w:cstheme="minorBidi"/>
                <w:b w:val="0"/>
                <w:color w:val="auto"/>
                <w:sz w:val="22"/>
                <w:lang w:eastAsia="en-GB"/>
              </w:rPr>
              <w:tab/>
            </w:r>
            <w:r w:rsidR="008A7AE9" w:rsidRPr="006D1981">
              <w:rPr>
                <w:rStyle w:val="Hyperlink"/>
              </w:rPr>
              <w:t>Introduction to the Data Sharing Agreement</w:t>
            </w:r>
            <w:r w:rsidR="008A7AE9">
              <w:rPr>
                <w:webHidden/>
              </w:rPr>
              <w:tab/>
            </w:r>
            <w:r w:rsidR="008A7AE9">
              <w:rPr>
                <w:webHidden/>
              </w:rPr>
              <w:fldChar w:fldCharType="begin"/>
            </w:r>
            <w:r w:rsidR="008A7AE9">
              <w:rPr>
                <w:webHidden/>
              </w:rPr>
              <w:instrText xml:space="preserve"> PAGEREF _Toc59206173 \h </w:instrText>
            </w:r>
            <w:r w:rsidR="008A7AE9">
              <w:rPr>
                <w:webHidden/>
              </w:rPr>
            </w:r>
            <w:r w:rsidR="008A7AE9">
              <w:rPr>
                <w:webHidden/>
              </w:rPr>
              <w:fldChar w:fldCharType="separate"/>
            </w:r>
            <w:r w:rsidR="008A7AE9">
              <w:rPr>
                <w:webHidden/>
              </w:rPr>
              <w:t>2</w:t>
            </w:r>
            <w:r w:rsidR="008A7AE9">
              <w:rPr>
                <w:webHidden/>
              </w:rPr>
              <w:fldChar w:fldCharType="end"/>
            </w:r>
          </w:hyperlink>
        </w:p>
        <w:p w14:paraId="74324A11" w14:textId="2BAA1300" w:rsidR="008A7AE9" w:rsidRDefault="008A7AE9">
          <w:pPr>
            <w:pStyle w:val="TOC2"/>
            <w:rPr>
              <w:rFonts w:asciiTheme="minorHAnsi" w:eastAsiaTheme="minorEastAsia" w:hAnsiTheme="minorHAnsi" w:cstheme="minorBidi"/>
              <w:b w:val="0"/>
              <w:color w:val="auto"/>
              <w:lang w:eastAsia="en-GB"/>
            </w:rPr>
          </w:pPr>
          <w:hyperlink w:anchor="_Toc59206174" w:history="1">
            <w:r w:rsidRPr="006D1981">
              <w:rPr>
                <w:rStyle w:val="Hyperlink"/>
              </w:rPr>
              <w:t>1.1.</w:t>
            </w:r>
            <w:r>
              <w:rPr>
                <w:rFonts w:asciiTheme="minorHAnsi" w:eastAsiaTheme="minorEastAsia" w:hAnsiTheme="minorHAnsi" w:cstheme="minorBidi"/>
                <w:b w:val="0"/>
                <w:color w:val="auto"/>
                <w:lang w:eastAsia="en-GB"/>
              </w:rPr>
              <w:tab/>
            </w:r>
            <w:r w:rsidRPr="006D1981">
              <w:rPr>
                <w:rStyle w:val="Hyperlink"/>
              </w:rPr>
              <w:t>Ownership of this agreement</w:t>
            </w:r>
            <w:r>
              <w:rPr>
                <w:webHidden/>
              </w:rPr>
              <w:tab/>
            </w:r>
            <w:r>
              <w:rPr>
                <w:webHidden/>
              </w:rPr>
              <w:fldChar w:fldCharType="begin"/>
            </w:r>
            <w:r>
              <w:rPr>
                <w:webHidden/>
              </w:rPr>
              <w:instrText xml:space="preserve"> PAGEREF _Toc59206174 \h </w:instrText>
            </w:r>
            <w:r>
              <w:rPr>
                <w:webHidden/>
              </w:rPr>
            </w:r>
            <w:r>
              <w:rPr>
                <w:webHidden/>
              </w:rPr>
              <w:fldChar w:fldCharType="separate"/>
            </w:r>
            <w:r>
              <w:rPr>
                <w:webHidden/>
              </w:rPr>
              <w:t>2</w:t>
            </w:r>
            <w:r>
              <w:rPr>
                <w:webHidden/>
              </w:rPr>
              <w:fldChar w:fldCharType="end"/>
            </w:r>
          </w:hyperlink>
        </w:p>
        <w:p w14:paraId="48505594" w14:textId="12FEBF9E" w:rsidR="008A7AE9" w:rsidRDefault="008A7AE9">
          <w:pPr>
            <w:pStyle w:val="TOC2"/>
            <w:rPr>
              <w:rFonts w:asciiTheme="minorHAnsi" w:eastAsiaTheme="minorEastAsia" w:hAnsiTheme="minorHAnsi" w:cstheme="minorBidi"/>
              <w:b w:val="0"/>
              <w:color w:val="auto"/>
              <w:lang w:eastAsia="en-GB"/>
            </w:rPr>
          </w:pPr>
          <w:hyperlink w:anchor="_Toc59206175" w:history="1">
            <w:r w:rsidRPr="006D1981">
              <w:rPr>
                <w:rStyle w:val="Hyperlink"/>
              </w:rPr>
              <w:t>1.2.</w:t>
            </w:r>
            <w:r>
              <w:rPr>
                <w:rFonts w:asciiTheme="minorHAnsi" w:eastAsiaTheme="minorEastAsia" w:hAnsiTheme="minorHAnsi" w:cstheme="minorBidi"/>
                <w:b w:val="0"/>
                <w:color w:val="auto"/>
                <w:lang w:eastAsia="en-GB"/>
              </w:rPr>
              <w:tab/>
            </w:r>
            <w:r w:rsidRPr="006D1981">
              <w:rPr>
                <w:rStyle w:val="Hyperlink"/>
              </w:rPr>
              <w:t>Responsibilities of parties involved</w:t>
            </w:r>
            <w:r>
              <w:rPr>
                <w:webHidden/>
              </w:rPr>
              <w:tab/>
            </w:r>
            <w:r>
              <w:rPr>
                <w:webHidden/>
              </w:rPr>
              <w:fldChar w:fldCharType="begin"/>
            </w:r>
            <w:r>
              <w:rPr>
                <w:webHidden/>
              </w:rPr>
              <w:instrText xml:space="preserve"> PAGEREF _Toc59206175 \h </w:instrText>
            </w:r>
            <w:r>
              <w:rPr>
                <w:webHidden/>
              </w:rPr>
            </w:r>
            <w:r>
              <w:rPr>
                <w:webHidden/>
              </w:rPr>
              <w:fldChar w:fldCharType="separate"/>
            </w:r>
            <w:r>
              <w:rPr>
                <w:webHidden/>
              </w:rPr>
              <w:t>3</w:t>
            </w:r>
            <w:r>
              <w:rPr>
                <w:webHidden/>
              </w:rPr>
              <w:fldChar w:fldCharType="end"/>
            </w:r>
          </w:hyperlink>
        </w:p>
        <w:p w14:paraId="4CEFDBB7" w14:textId="11447A76" w:rsidR="008A7AE9" w:rsidRDefault="008A7AE9">
          <w:pPr>
            <w:pStyle w:val="TOC2"/>
            <w:rPr>
              <w:rFonts w:asciiTheme="minorHAnsi" w:eastAsiaTheme="minorEastAsia" w:hAnsiTheme="minorHAnsi" w:cstheme="minorBidi"/>
              <w:b w:val="0"/>
              <w:color w:val="auto"/>
              <w:lang w:eastAsia="en-GB"/>
            </w:rPr>
          </w:pPr>
          <w:hyperlink w:anchor="_Toc59206176" w:history="1">
            <w:r w:rsidRPr="006D1981">
              <w:rPr>
                <w:rStyle w:val="Hyperlink"/>
              </w:rPr>
              <w:t>1.3.</w:t>
            </w:r>
            <w:r>
              <w:rPr>
                <w:rFonts w:asciiTheme="minorHAnsi" w:eastAsiaTheme="minorEastAsia" w:hAnsiTheme="minorHAnsi" w:cstheme="minorBidi"/>
                <w:b w:val="0"/>
                <w:color w:val="auto"/>
                <w:lang w:eastAsia="en-GB"/>
              </w:rPr>
              <w:tab/>
            </w:r>
            <w:r w:rsidRPr="006D1981">
              <w:rPr>
                <w:rStyle w:val="Hyperlink"/>
              </w:rPr>
              <w:t>Confidentiality and vetting</w:t>
            </w:r>
            <w:r>
              <w:rPr>
                <w:webHidden/>
              </w:rPr>
              <w:tab/>
            </w:r>
            <w:r>
              <w:rPr>
                <w:webHidden/>
              </w:rPr>
              <w:fldChar w:fldCharType="begin"/>
            </w:r>
            <w:r>
              <w:rPr>
                <w:webHidden/>
              </w:rPr>
              <w:instrText xml:space="preserve"> PAGEREF _Toc59206176 \h </w:instrText>
            </w:r>
            <w:r>
              <w:rPr>
                <w:webHidden/>
              </w:rPr>
            </w:r>
            <w:r>
              <w:rPr>
                <w:webHidden/>
              </w:rPr>
              <w:fldChar w:fldCharType="separate"/>
            </w:r>
            <w:r>
              <w:rPr>
                <w:webHidden/>
              </w:rPr>
              <w:t>3</w:t>
            </w:r>
            <w:r>
              <w:rPr>
                <w:webHidden/>
              </w:rPr>
              <w:fldChar w:fldCharType="end"/>
            </w:r>
          </w:hyperlink>
        </w:p>
        <w:p w14:paraId="28CCEA3A" w14:textId="0A092066" w:rsidR="008A7AE9" w:rsidRDefault="008A7AE9">
          <w:pPr>
            <w:pStyle w:val="TOC2"/>
            <w:rPr>
              <w:rFonts w:asciiTheme="minorHAnsi" w:eastAsiaTheme="minorEastAsia" w:hAnsiTheme="minorHAnsi" w:cstheme="minorBidi"/>
              <w:b w:val="0"/>
              <w:color w:val="auto"/>
              <w:lang w:eastAsia="en-GB"/>
            </w:rPr>
          </w:pPr>
          <w:hyperlink w:anchor="_Toc59206177" w:history="1">
            <w:r w:rsidRPr="006D1981">
              <w:rPr>
                <w:rStyle w:val="Hyperlink"/>
              </w:rPr>
              <w:t>1.4.</w:t>
            </w:r>
            <w:r>
              <w:rPr>
                <w:rFonts w:asciiTheme="minorHAnsi" w:eastAsiaTheme="minorEastAsia" w:hAnsiTheme="minorHAnsi" w:cstheme="minorBidi"/>
                <w:b w:val="0"/>
                <w:color w:val="auto"/>
                <w:lang w:eastAsia="en-GB"/>
              </w:rPr>
              <w:tab/>
            </w:r>
            <w:r w:rsidRPr="006D1981">
              <w:rPr>
                <w:rStyle w:val="Hyperlink"/>
              </w:rPr>
              <w:t>Assessment and review</w:t>
            </w:r>
            <w:r>
              <w:rPr>
                <w:webHidden/>
              </w:rPr>
              <w:tab/>
            </w:r>
            <w:r>
              <w:rPr>
                <w:webHidden/>
              </w:rPr>
              <w:fldChar w:fldCharType="begin"/>
            </w:r>
            <w:r>
              <w:rPr>
                <w:webHidden/>
              </w:rPr>
              <w:instrText xml:space="preserve"> PAGEREF _Toc59206177 \h </w:instrText>
            </w:r>
            <w:r>
              <w:rPr>
                <w:webHidden/>
              </w:rPr>
            </w:r>
            <w:r>
              <w:rPr>
                <w:webHidden/>
              </w:rPr>
              <w:fldChar w:fldCharType="separate"/>
            </w:r>
            <w:r>
              <w:rPr>
                <w:webHidden/>
              </w:rPr>
              <w:t>3</w:t>
            </w:r>
            <w:r>
              <w:rPr>
                <w:webHidden/>
              </w:rPr>
              <w:fldChar w:fldCharType="end"/>
            </w:r>
          </w:hyperlink>
        </w:p>
        <w:p w14:paraId="58427861" w14:textId="6E8EF2A0" w:rsidR="008A7AE9" w:rsidRDefault="008A7AE9">
          <w:pPr>
            <w:pStyle w:val="TOC2"/>
            <w:rPr>
              <w:rFonts w:asciiTheme="minorHAnsi" w:eastAsiaTheme="minorEastAsia" w:hAnsiTheme="minorHAnsi" w:cstheme="minorBidi"/>
              <w:b w:val="0"/>
              <w:color w:val="auto"/>
              <w:lang w:eastAsia="en-GB"/>
            </w:rPr>
          </w:pPr>
          <w:hyperlink w:anchor="_Toc59206178" w:history="1">
            <w:r w:rsidRPr="006D1981">
              <w:rPr>
                <w:rStyle w:val="Hyperlink"/>
              </w:rPr>
              <w:t>1.5.</w:t>
            </w:r>
            <w:r>
              <w:rPr>
                <w:rFonts w:asciiTheme="minorHAnsi" w:eastAsiaTheme="minorEastAsia" w:hAnsiTheme="minorHAnsi" w:cstheme="minorBidi"/>
                <w:b w:val="0"/>
                <w:color w:val="auto"/>
                <w:lang w:eastAsia="en-GB"/>
              </w:rPr>
              <w:tab/>
            </w:r>
            <w:r w:rsidRPr="006D1981">
              <w:rPr>
                <w:rStyle w:val="Hyperlink"/>
              </w:rPr>
              <w:t>Termination of agreement</w:t>
            </w:r>
            <w:r>
              <w:rPr>
                <w:webHidden/>
              </w:rPr>
              <w:tab/>
            </w:r>
            <w:r>
              <w:rPr>
                <w:webHidden/>
              </w:rPr>
              <w:fldChar w:fldCharType="begin"/>
            </w:r>
            <w:r>
              <w:rPr>
                <w:webHidden/>
              </w:rPr>
              <w:instrText xml:space="preserve"> PAGEREF _Toc59206178 \h </w:instrText>
            </w:r>
            <w:r>
              <w:rPr>
                <w:webHidden/>
              </w:rPr>
            </w:r>
            <w:r>
              <w:rPr>
                <w:webHidden/>
              </w:rPr>
              <w:fldChar w:fldCharType="separate"/>
            </w:r>
            <w:r>
              <w:rPr>
                <w:webHidden/>
              </w:rPr>
              <w:t>4</w:t>
            </w:r>
            <w:r>
              <w:rPr>
                <w:webHidden/>
              </w:rPr>
              <w:fldChar w:fldCharType="end"/>
            </w:r>
          </w:hyperlink>
        </w:p>
        <w:p w14:paraId="0910FBC1" w14:textId="4E6A6CEB" w:rsidR="008A7AE9" w:rsidRDefault="008A7AE9">
          <w:pPr>
            <w:pStyle w:val="TOC2"/>
            <w:rPr>
              <w:rFonts w:asciiTheme="minorHAnsi" w:eastAsiaTheme="minorEastAsia" w:hAnsiTheme="minorHAnsi" w:cstheme="minorBidi"/>
              <w:b w:val="0"/>
              <w:color w:val="auto"/>
              <w:lang w:eastAsia="en-GB"/>
            </w:rPr>
          </w:pPr>
          <w:hyperlink w:anchor="_Toc59206179" w:history="1">
            <w:r w:rsidRPr="006D1981">
              <w:rPr>
                <w:rStyle w:val="Hyperlink"/>
              </w:rPr>
              <w:t>1.6.</w:t>
            </w:r>
            <w:r>
              <w:rPr>
                <w:rFonts w:asciiTheme="minorHAnsi" w:eastAsiaTheme="minorEastAsia" w:hAnsiTheme="minorHAnsi" w:cstheme="minorBidi"/>
                <w:b w:val="0"/>
                <w:color w:val="auto"/>
                <w:lang w:eastAsia="en-GB"/>
              </w:rPr>
              <w:tab/>
            </w:r>
            <w:r w:rsidRPr="006D1981">
              <w:rPr>
                <w:rStyle w:val="Hyperlink"/>
              </w:rPr>
              <w:t>Outside of this agreement</w:t>
            </w:r>
            <w:r>
              <w:rPr>
                <w:webHidden/>
              </w:rPr>
              <w:tab/>
            </w:r>
            <w:r>
              <w:rPr>
                <w:webHidden/>
              </w:rPr>
              <w:fldChar w:fldCharType="begin"/>
            </w:r>
            <w:r>
              <w:rPr>
                <w:webHidden/>
              </w:rPr>
              <w:instrText xml:space="preserve"> PAGEREF _Toc59206179 \h </w:instrText>
            </w:r>
            <w:r>
              <w:rPr>
                <w:webHidden/>
              </w:rPr>
            </w:r>
            <w:r>
              <w:rPr>
                <w:webHidden/>
              </w:rPr>
              <w:fldChar w:fldCharType="separate"/>
            </w:r>
            <w:r>
              <w:rPr>
                <w:webHidden/>
              </w:rPr>
              <w:t>4</w:t>
            </w:r>
            <w:r>
              <w:rPr>
                <w:webHidden/>
              </w:rPr>
              <w:fldChar w:fldCharType="end"/>
            </w:r>
          </w:hyperlink>
        </w:p>
        <w:p w14:paraId="6B96DEC5" w14:textId="246773FE" w:rsidR="008A7AE9" w:rsidRDefault="008A7AE9">
          <w:pPr>
            <w:pStyle w:val="TOC1"/>
            <w:rPr>
              <w:rFonts w:asciiTheme="minorHAnsi" w:eastAsiaTheme="minorEastAsia" w:hAnsiTheme="minorHAnsi" w:cstheme="minorBidi"/>
              <w:b w:val="0"/>
              <w:color w:val="auto"/>
              <w:sz w:val="22"/>
              <w:lang w:eastAsia="en-GB"/>
            </w:rPr>
          </w:pPr>
          <w:hyperlink w:anchor="_Toc59206180" w:history="1">
            <w:r w:rsidRPr="006D1981">
              <w:rPr>
                <w:rStyle w:val="Hyperlink"/>
              </w:rPr>
              <w:t>2.</w:t>
            </w:r>
            <w:r>
              <w:rPr>
                <w:rFonts w:asciiTheme="minorHAnsi" w:eastAsiaTheme="minorEastAsia" w:hAnsiTheme="minorHAnsi" w:cstheme="minorBidi"/>
                <w:b w:val="0"/>
                <w:color w:val="auto"/>
                <w:sz w:val="22"/>
                <w:lang w:eastAsia="en-GB"/>
              </w:rPr>
              <w:tab/>
            </w:r>
            <w:r w:rsidRPr="006D1981">
              <w:rPr>
                <w:rStyle w:val="Hyperlink"/>
              </w:rPr>
              <w:t>Purpose and Benefits</w:t>
            </w:r>
            <w:r>
              <w:rPr>
                <w:webHidden/>
              </w:rPr>
              <w:tab/>
            </w:r>
            <w:r>
              <w:rPr>
                <w:webHidden/>
              </w:rPr>
              <w:fldChar w:fldCharType="begin"/>
            </w:r>
            <w:r>
              <w:rPr>
                <w:webHidden/>
              </w:rPr>
              <w:instrText xml:space="preserve"> PAGEREF _Toc59206180 \h </w:instrText>
            </w:r>
            <w:r>
              <w:rPr>
                <w:webHidden/>
              </w:rPr>
            </w:r>
            <w:r>
              <w:rPr>
                <w:webHidden/>
              </w:rPr>
              <w:fldChar w:fldCharType="separate"/>
            </w:r>
            <w:r>
              <w:rPr>
                <w:webHidden/>
              </w:rPr>
              <w:t>5</w:t>
            </w:r>
            <w:r>
              <w:rPr>
                <w:webHidden/>
              </w:rPr>
              <w:fldChar w:fldCharType="end"/>
            </w:r>
          </w:hyperlink>
        </w:p>
        <w:p w14:paraId="15ED2C99" w14:textId="583012C3" w:rsidR="008A7AE9" w:rsidRDefault="008A7AE9">
          <w:pPr>
            <w:pStyle w:val="TOC2"/>
            <w:rPr>
              <w:rFonts w:asciiTheme="minorHAnsi" w:eastAsiaTheme="minorEastAsia" w:hAnsiTheme="minorHAnsi" w:cstheme="minorBidi"/>
              <w:b w:val="0"/>
              <w:color w:val="auto"/>
              <w:lang w:eastAsia="en-GB"/>
            </w:rPr>
          </w:pPr>
          <w:hyperlink w:anchor="_Toc59206181" w:history="1">
            <w:r w:rsidRPr="006D1981">
              <w:rPr>
                <w:rStyle w:val="Hyperlink"/>
              </w:rPr>
              <w:t>2.1.</w:t>
            </w:r>
            <w:r>
              <w:rPr>
                <w:rFonts w:asciiTheme="minorHAnsi" w:eastAsiaTheme="minorEastAsia" w:hAnsiTheme="minorHAnsi" w:cstheme="minorBidi"/>
                <w:b w:val="0"/>
                <w:color w:val="auto"/>
                <w:lang w:eastAsia="en-GB"/>
              </w:rPr>
              <w:tab/>
            </w:r>
            <w:r w:rsidRPr="006D1981">
              <w:rPr>
                <w:rStyle w:val="Hyperlink"/>
              </w:rPr>
              <w:t>The front door for children’s social care</w:t>
            </w:r>
            <w:r>
              <w:rPr>
                <w:webHidden/>
              </w:rPr>
              <w:tab/>
            </w:r>
            <w:r>
              <w:rPr>
                <w:webHidden/>
              </w:rPr>
              <w:fldChar w:fldCharType="begin"/>
            </w:r>
            <w:r>
              <w:rPr>
                <w:webHidden/>
              </w:rPr>
              <w:instrText xml:space="preserve"> PAGEREF _Toc59206181 \h </w:instrText>
            </w:r>
            <w:r>
              <w:rPr>
                <w:webHidden/>
              </w:rPr>
            </w:r>
            <w:r>
              <w:rPr>
                <w:webHidden/>
              </w:rPr>
              <w:fldChar w:fldCharType="separate"/>
            </w:r>
            <w:r>
              <w:rPr>
                <w:webHidden/>
              </w:rPr>
              <w:t>5</w:t>
            </w:r>
            <w:r>
              <w:rPr>
                <w:webHidden/>
              </w:rPr>
              <w:fldChar w:fldCharType="end"/>
            </w:r>
          </w:hyperlink>
        </w:p>
        <w:p w14:paraId="46D494F7" w14:textId="02D25CA5" w:rsidR="008A7AE9" w:rsidRDefault="008A7AE9">
          <w:pPr>
            <w:pStyle w:val="TOC2"/>
            <w:rPr>
              <w:rFonts w:asciiTheme="minorHAnsi" w:eastAsiaTheme="minorEastAsia" w:hAnsiTheme="minorHAnsi" w:cstheme="minorBidi"/>
              <w:b w:val="0"/>
              <w:color w:val="auto"/>
              <w:lang w:eastAsia="en-GB"/>
            </w:rPr>
          </w:pPr>
          <w:hyperlink w:anchor="_Toc59206182" w:history="1">
            <w:r w:rsidRPr="006D1981">
              <w:rPr>
                <w:rStyle w:val="Hyperlink"/>
              </w:rPr>
              <w:t>2.2.</w:t>
            </w:r>
            <w:r>
              <w:rPr>
                <w:rFonts w:asciiTheme="minorHAnsi" w:eastAsiaTheme="minorEastAsia" w:hAnsiTheme="minorHAnsi" w:cstheme="minorBidi"/>
                <w:b w:val="0"/>
                <w:color w:val="auto"/>
                <w:lang w:eastAsia="en-GB"/>
              </w:rPr>
              <w:tab/>
            </w:r>
            <w:r w:rsidRPr="006D1981">
              <w:rPr>
                <w:rStyle w:val="Hyperlink"/>
              </w:rPr>
              <w:t>The MASH</w:t>
            </w:r>
            <w:r>
              <w:rPr>
                <w:webHidden/>
              </w:rPr>
              <w:tab/>
            </w:r>
            <w:r>
              <w:rPr>
                <w:webHidden/>
              </w:rPr>
              <w:fldChar w:fldCharType="begin"/>
            </w:r>
            <w:r>
              <w:rPr>
                <w:webHidden/>
              </w:rPr>
              <w:instrText xml:space="preserve"> PAGEREF _Toc59206182 \h </w:instrText>
            </w:r>
            <w:r>
              <w:rPr>
                <w:webHidden/>
              </w:rPr>
            </w:r>
            <w:r>
              <w:rPr>
                <w:webHidden/>
              </w:rPr>
              <w:fldChar w:fldCharType="separate"/>
            </w:r>
            <w:r>
              <w:rPr>
                <w:webHidden/>
              </w:rPr>
              <w:t>5</w:t>
            </w:r>
            <w:r>
              <w:rPr>
                <w:webHidden/>
              </w:rPr>
              <w:fldChar w:fldCharType="end"/>
            </w:r>
          </w:hyperlink>
        </w:p>
        <w:p w14:paraId="6463A816" w14:textId="0432496B" w:rsidR="008A7AE9" w:rsidRDefault="008A7AE9">
          <w:pPr>
            <w:pStyle w:val="TOC2"/>
            <w:rPr>
              <w:rFonts w:asciiTheme="minorHAnsi" w:eastAsiaTheme="minorEastAsia" w:hAnsiTheme="minorHAnsi" w:cstheme="minorBidi"/>
              <w:b w:val="0"/>
              <w:color w:val="auto"/>
              <w:lang w:eastAsia="en-GB"/>
            </w:rPr>
          </w:pPr>
          <w:hyperlink w:anchor="_Toc59206183" w:history="1">
            <w:r w:rsidRPr="006D1981">
              <w:rPr>
                <w:rStyle w:val="Hyperlink"/>
              </w:rPr>
              <w:t>2.3.</w:t>
            </w:r>
            <w:r>
              <w:rPr>
                <w:rFonts w:asciiTheme="minorHAnsi" w:eastAsiaTheme="minorEastAsia" w:hAnsiTheme="minorHAnsi" w:cstheme="minorBidi"/>
                <w:b w:val="0"/>
                <w:color w:val="auto"/>
                <w:lang w:eastAsia="en-GB"/>
              </w:rPr>
              <w:tab/>
            </w:r>
            <w:r w:rsidRPr="006D1981">
              <w:rPr>
                <w:rStyle w:val="Hyperlink"/>
              </w:rPr>
              <w:t>Multi-agency safeguarding responsibilities</w:t>
            </w:r>
            <w:r>
              <w:rPr>
                <w:webHidden/>
              </w:rPr>
              <w:tab/>
            </w:r>
            <w:r>
              <w:rPr>
                <w:webHidden/>
              </w:rPr>
              <w:fldChar w:fldCharType="begin"/>
            </w:r>
            <w:r>
              <w:rPr>
                <w:webHidden/>
              </w:rPr>
              <w:instrText xml:space="preserve"> PAGEREF _Toc59206183 \h </w:instrText>
            </w:r>
            <w:r>
              <w:rPr>
                <w:webHidden/>
              </w:rPr>
            </w:r>
            <w:r>
              <w:rPr>
                <w:webHidden/>
              </w:rPr>
              <w:fldChar w:fldCharType="separate"/>
            </w:r>
            <w:r>
              <w:rPr>
                <w:webHidden/>
              </w:rPr>
              <w:t>6</w:t>
            </w:r>
            <w:r>
              <w:rPr>
                <w:webHidden/>
              </w:rPr>
              <w:fldChar w:fldCharType="end"/>
            </w:r>
          </w:hyperlink>
        </w:p>
        <w:p w14:paraId="5E344475" w14:textId="59EDE985" w:rsidR="008A7AE9" w:rsidRDefault="008A7AE9">
          <w:pPr>
            <w:pStyle w:val="TOC2"/>
            <w:rPr>
              <w:rFonts w:asciiTheme="minorHAnsi" w:eastAsiaTheme="minorEastAsia" w:hAnsiTheme="minorHAnsi" w:cstheme="minorBidi"/>
              <w:b w:val="0"/>
              <w:color w:val="auto"/>
              <w:lang w:eastAsia="en-GB"/>
            </w:rPr>
          </w:pPr>
          <w:hyperlink w:anchor="_Toc59206184" w:history="1">
            <w:r w:rsidRPr="006D1981">
              <w:rPr>
                <w:rStyle w:val="Hyperlink"/>
              </w:rPr>
              <w:t>2.4.</w:t>
            </w:r>
            <w:r>
              <w:rPr>
                <w:rFonts w:asciiTheme="minorHAnsi" w:eastAsiaTheme="minorEastAsia" w:hAnsiTheme="minorHAnsi" w:cstheme="minorBidi"/>
                <w:b w:val="0"/>
                <w:color w:val="auto"/>
                <w:lang w:eastAsia="en-GB"/>
              </w:rPr>
              <w:tab/>
            </w:r>
            <w:r w:rsidRPr="006D1981">
              <w:rPr>
                <w:rStyle w:val="Hyperlink"/>
              </w:rPr>
              <w:t>Wider safeguarding work</w:t>
            </w:r>
            <w:r>
              <w:rPr>
                <w:webHidden/>
              </w:rPr>
              <w:tab/>
            </w:r>
            <w:r>
              <w:rPr>
                <w:webHidden/>
              </w:rPr>
              <w:fldChar w:fldCharType="begin"/>
            </w:r>
            <w:r>
              <w:rPr>
                <w:webHidden/>
              </w:rPr>
              <w:instrText xml:space="preserve"> PAGEREF _Toc59206184 \h </w:instrText>
            </w:r>
            <w:r>
              <w:rPr>
                <w:webHidden/>
              </w:rPr>
            </w:r>
            <w:r>
              <w:rPr>
                <w:webHidden/>
              </w:rPr>
              <w:fldChar w:fldCharType="separate"/>
            </w:r>
            <w:r>
              <w:rPr>
                <w:webHidden/>
              </w:rPr>
              <w:t>6</w:t>
            </w:r>
            <w:r>
              <w:rPr>
                <w:webHidden/>
              </w:rPr>
              <w:fldChar w:fldCharType="end"/>
            </w:r>
          </w:hyperlink>
        </w:p>
        <w:p w14:paraId="16332EFF" w14:textId="2CA31B77" w:rsidR="008A7AE9" w:rsidRDefault="008A7AE9">
          <w:pPr>
            <w:pStyle w:val="TOC2"/>
            <w:rPr>
              <w:rFonts w:asciiTheme="minorHAnsi" w:eastAsiaTheme="minorEastAsia" w:hAnsiTheme="minorHAnsi" w:cstheme="minorBidi"/>
              <w:b w:val="0"/>
              <w:color w:val="auto"/>
              <w:lang w:eastAsia="en-GB"/>
            </w:rPr>
          </w:pPr>
          <w:hyperlink w:anchor="_Toc59206185" w:history="1">
            <w:r w:rsidRPr="006D1981">
              <w:rPr>
                <w:rStyle w:val="Hyperlink"/>
              </w:rPr>
              <w:t>2.5.</w:t>
            </w:r>
            <w:r>
              <w:rPr>
                <w:rFonts w:asciiTheme="minorHAnsi" w:eastAsiaTheme="minorEastAsia" w:hAnsiTheme="minorHAnsi" w:cstheme="minorBidi"/>
                <w:b w:val="0"/>
                <w:color w:val="auto"/>
                <w:lang w:eastAsia="en-GB"/>
              </w:rPr>
              <w:tab/>
            </w:r>
            <w:r w:rsidRPr="006D1981">
              <w:rPr>
                <w:rStyle w:val="Hyperlink"/>
              </w:rPr>
              <w:t>Benefits</w:t>
            </w:r>
            <w:r>
              <w:rPr>
                <w:webHidden/>
              </w:rPr>
              <w:tab/>
            </w:r>
            <w:r>
              <w:rPr>
                <w:webHidden/>
              </w:rPr>
              <w:fldChar w:fldCharType="begin"/>
            </w:r>
            <w:r>
              <w:rPr>
                <w:webHidden/>
              </w:rPr>
              <w:instrText xml:space="preserve"> PAGEREF _Toc59206185 \h </w:instrText>
            </w:r>
            <w:r>
              <w:rPr>
                <w:webHidden/>
              </w:rPr>
            </w:r>
            <w:r>
              <w:rPr>
                <w:webHidden/>
              </w:rPr>
              <w:fldChar w:fldCharType="separate"/>
            </w:r>
            <w:r>
              <w:rPr>
                <w:webHidden/>
              </w:rPr>
              <w:t>7</w:t>
            </w:r>
            <w:r>
              <w:rPr>
                <w:webHidden/>
              </w:rPr>
              <w:fldChar w:fldCharType="end"/>
            </w:r>
          </w:hyperlink>
        </w:p>
        <w:p w14:paraId="449EB518" w14:textId="2C74ADFE" w:rsidR="008A7AE9" w:rsidRDefault="008A7AE9">
          <w:pPr>
            <w:pStyle w:val="TOC2"/>
            <w:rPr>
              <w:rFonts w:asciiTheme="minorHAnsi" w:eastAsiaTheme="minorEastAsia" w:hAnsiTheme="minorHAnsi" w:cstheme="minorBidi"/>
              <w:b w:val="0"/>
              <w:color w:val="auto"/>
              <w:lang w:eastAsia="en-GB"/>
            </w:rPr>
          </w:pPr>
          <w:hyperlink w:anchor="_Toc59206186" w:history="1">
            <w:r w:rsidRPr="006D1981">
              <w:rPr>
                <w:rStyle w:val="Hyperlink"/>
              </w:rPr>
              <w:t>2.6.</w:t>
            </w:r>
            <w:r>
              <w:rPr>
                <w:rFonts w:asciiTheme="minorHAnsi" w:eastAsiaTheme="minorEastAsia" w:hAnsiTheme="minorHAnsi" w:cstheme="minorBidi"/>
                <w:b w:val="0"/>
                <w:color w:val="auto"/>
                <w:lang w:eastAsia="en-GB"/>
              </w:rPr>
              <w:tab/>
            </w:r>
            <w:r w:rsidRPr="006D1981">
              <w:rPr>
                <w:rStyle w:val="Hyperlink"/>
              </w:rPr>
              <w:t>Principles of information sharing</w:t>
            </w:r>
            <w:r>
              <w:rPr>
                <w:webHidden/>
              </w:rPr>
              <w:tab/>
            </w:r>
            <w:r>
              <w:rPr>
                <w:webHidden/>
              </w:rPr>
              <w:fldChar w:fldCharType="begin"/>
            </w:r>
            <w:r>
              <w:rPr>
                <w:webHidden/>
              </w:rPr>
              <w:instrText xml:space="preserve"> PAGEREF _Toc59206186 \h </w:instrText>
            </w:r>
            <w:r>
              <w:rPr>
                <w:webHidden/>
              </w:rPr>
            </w:r>
            <w:r>
              <w:rPr>
                <w:webHidden/>
              </w:rPr>
              <w:fldChar w:fldCharType="separate"/>
            </w:r>
            <w:r>
              <w:rPr>
                <w:webHidden/>
              </w:rPr>
              <w:t>7</w:t>
            </w:r>
            <w:r>
              <w:rPr>
                <w:webHidden/>
              </w:rPr>
              <w:fldChar w:fldCharType="end"/>
            </w:r>
          </w:hyperlink>
        </w:p>
        <w:p w14:paraId="17962600" w14:textId="030D3FE5" w:rsidR="008A7AE9" w:rsidRDefault="008A7AE9">
          <w:pPr>
            <w:pStyle w:val="TOC2"/>
            <w:rPr>
              <w:rFonts w:asciiTheme="minorHAnsi" w:eastAsiaTheme="minorEastAsia" w:hAnsiTheme="minorHAnsi" w:cstheme="minorBidi"/>
              <w:b w:val="0"/>
              <w:color w:val="auto"/>
              <w:lang w:eastAsia="en-GB"/>
            </w:rPr>
          </w:pPr>
          <w:hyperlink w:anchor="_Toc59206187" w:history="1">
            <w:r w:rsidRPr="006D1981">
              <w:rPr>
                <w:rStyle w:val="Hyperlink"/>
              </w:rPr>
              <w:t>2.7.</w:t>
            </w:r>
            <w:r>
              <w:rPr>
                <w:rFonts w:asciiTheme="minorHAnsi" w:eastAsiaTheme="minorEastAsia" w:hAnsiTheme="minorHAnsi" w:cstheme="minorBidi"/>
                <w:b w:val="0"/>
                <w:color w:val="auto"/>
                <w:lang w:eastAsia="en-GB"/>
              </w:rPr>
              <w:tab/>
            </w:r>
            <w:r w:rsidRPr="006D1981">
              <w:rPr>
                <w:rStyle w:val="Hyperlink"/>
              </w:rPr>
              <w:t>Lawful Basis</w:t>
            </w:r>
            <w:r>
              <w:rPr>
                <w:webHidden/>
              </w:rPr>
              <w:tab/>
            </w:r>
            <w:r>
              <w:rPr>
                <w:webHidden/>
              </w:rPr>
              <w:fldChar w:fldCharType="begin"/>
            </w:r>
            <w:r>
              <w:rPr>
                <w:webHidden/>
              </w:rPr>
              <w:instrText xml:space="preserve"> PAGEREF _Toc59206187 \h </w:instrText>
            </w:r>
            <w:r>
              <w:rPr>
                <w:webHidden/>
              </w:rPr>
            </w:r>
            <w:r>
              <w:rPr>
                <w:webHidden/>
              </w:rPr>
              <w:fldChar w:fldCharType="separate"/>
            </w:r>
            <w:r>
              <w:rPr>
                <w:webHidden/>
              </w:rPr>
              <w:t>7</w:t>
            </w:r>
            <w:r>
              <w:rPr>
                <w:webHidden/>
              </w:rPr>
              <w:fldChar w:fldCharType="end"/>
            </w:r>
          </w:hyperlink>
        </w:p>
        <w:p w14:paraId="763C7E07" w14:textId="409F5767" w:rsidR="008A7AE9" w:rsidRDefault="008A7AE9">
          <w:pPr>
            <w:pStyle w:val="TOC2"/>
            <w:rPr>
              <w:rFonts w:asciiTheme="minorHAnsi" w:eastAsiaTheme="minorEastAsia" w:hAnsiTheme="minorHAnsi" w:cstheme="minorBidi"/>
              <w:b w:val="0"/>
              <w:color w:val="auto"/>
              <w:lang w:eastAsia="en-GB"/>
            </w:rPr>
          </w:pPr>
          <w:hyperlink w:anchor="_Toc59206188" w:history="1">
            <w:r w:rsidRPr="006D1981">
              <w:rPr>
                <w:rStyle w:val="Hyperlink"/>
              </w:rPr>
              <w:t>2.8.</w:t>
            </w:r>
            <w:r>
              <w:rPr>
                <w:rFonts w:asciiTheme="minorHAnsi" w:eastAsiaTheme="minorEastAsia" w:hAnsiTheme="minorHAnsi" w:cstheme="minorBidi"/>
                <w:b w:val="0"/>
                <w:color w:val="auto"/>
                <w:lang w:eastAsia="en-GB"/>
              </w:rPr>
              <w:tab/>
            </w:r>
            <w:r w:rsidRPr="006D1981">
              <w:rPr>
                <w:rStyle w:val="Hyperlink"/>
              </w:rPr>
              <w:t>Consent</w:t>
            </w:r>
            <w:r>
              <w:rPr>
                <w:webHidden/>
              </w:rPr>
              <w:tab/>
            </w:r>
            <w:r>
              <w:rPr>
                <w:webHidden/>
              </w:rPr>
              <w:fldChar w:fldCharType="begin"/>
            </w:r>
            <w:r>
              <w:rPr>
                <w:webHidden/>
              </w:rPr>
              <w:instrText xml:space="preserve"> PAGEREF _Toc59206188 \h </w:instrText>
            </w:r>
            <w:r>
              <w:rPr>
                <w:webHidden/>
              </w:rPr>
            </w:r>
            <w:r>
              <w:rPr>
                <w:webHidden/>
              </w:rPr>
              <w:fldChar w:fldCharType="separate"/>
            </w:r>
            <w:r>
              <w:rPr>
                <w:webHidden/>
              </w:rPr>
              <w:t>10</w:t>
            </w:r>
            <w:r>
              <w:rPr>
                <w:webHidden/>
              </w:rPr>
              <w:fldChar w:fldCharType="end"/>
            </w:r>
          </w:hyperlink>
        </w:p>
        <w:p w14:paraId="09BBBCF2" w14:textId="3C91F50F" w:rsidR="008A7AE9" w:rsidRDefault="008A7AE9">
          <w:pPr>
            <w:pStyle w:val="TOC2"/>
            <w:rPr>
              <w:rFonts w:asciiTheme="minorHAnsi" w:eastAsiaTheme="minorEastAsia" w:hAnsiTheme="minorHAnsi" w:cstheme="minorBidi"/>
              <w:b w:val="0"/>
              <w:color w:val="auto"/>
              <w:lang w:eastAsia="en-GB"/>
            </w:rPr>
          </w:pPr>
          <w:hyperlink w:anchor="_Toc59206189" w:history="1">
            <w:r w:rsidRPr="006D1981">
              <w:rPr>
                <w:rStyle w:val="Hyperlink"/>
                <w:lang w:eastAsia="en-GB"/>
              </w:rPr>
              <w:t>2.9.</w:t>
            </w:r>
            <w:r>
              <w:rPr>
                <w:rFonts w:asciiTheme="minorHAnsi" w:eastAsiaTheme="minorEastAsia" w:hAnsiTheme="minorHAnsi" w:cstheme="minorBidi"/>
                <w:b w:val="0"/>
                <w:color w:val="auto"/>
                <w:lang w:eastAsia="en-GB"/>
              </w:rPr>
              <w:tab/>
            </w:r>
            <w:r w:rsidRPr="006D1981">
              <w:rPr>
                <w:rStyle w:val="Hyperlink"/>
                <w:lang w:eastAsia="en-GB"/>
              </w:rPr>
              <w:t>Proportionality and necessity</w:t>
            </w:r>
            <w:r>
              <w:rPr>
                <w:webHidden/>
              </w:rPr>
              <w:tab/>
            </w:r>
            <w:r>
              <w:rPr>
                <w:webHidden/>
              </w:rPr>
              <w:fldChar w:fldCharType="begin"/>
            </w:r>
            <w:r>
              <w:rPr>
                <w:webHidden/>
              </w:rPr>
              <w:instrText xml:space="preserve"> PAGEREF _Toc59206189 \h </w:instrText>
            </w:r>
            <w:r>
              <w:rPr>
                <w:webHidden/>
              </w:rPr>
            </w:r>
            <w:r>
              <w:rPr>
                <w:webHidden/>
              </w:rPr>
              <w:fldChar w:fldCharType="separate"/>
            </w:r>
            <w:r>
              <w:rPr>
                <w:webHidden/>
              </w:rPr>
              <w:t>10</w:t>
            </w:r>
            <w:r>
              <w:rPr>
                <w:webHidden/>
              </w:rPr>
              <w:fldChar w:fldCharType="end"/>
            </w:r>
          </w:hyperlink>
        </w:p>
        <w:p w14:paraId="024C40B2" w14:textId="3BBD359D" w:rsidR="008A7AE9" w:rsidRDefault="008A7AE9">
          <w:pPr>
            <w:pStyle w:val="TOC2"/>
            <w:rPr>
              <w:rFonts w:asciiTheme="minorHAnsi" w:eastAsiaTheme="minorEastAsia" w:hAnsiTheme="minorHAnsi" w:cstheme="minorBidi"/>
              <w:b w:val="0"/>
              <w:color w:val="auto"/>
              <w:lang w:eastAsia="en-GB"/>
            </w:rPr>
          </w:pPr>
          <w:hyperlink w:anchor="_Toc59206190" w:history="1">
            <w:r w:rsidRPr="006D1981">
              <w:rPr>
                <w:rStyle w:val="Hyperlink"/>
              </w:rPr>
              <w:t>2.10.</w:t>
            </w:r>
            <w:r>
              <w:rPr>
                <w:rFonts w:asciiTheme="minorHAnsi" w:eastAsiaTheme="minorEastAsia" w:hAnsiTheme="minorHAnsi" w:cstheme="minorBidi"/>
                <w:b w:val="0"/>
                <w:color w:val="auto"/>
                <w:lang w:eastAsia="en-GB"/>
              </w:rPr>
              <w:tab/>
            </w:r>
            <w:r w:rsidRPr="006D1981">
              <w:rPr>
                <w:rStyle w:val="Hyperlink"/>
              </w:rPr>
              <w:t>Other relevant legislation</w:t>
            </w:r>
            <w:r>
              <w:rPr>
                <w:webHidden/>
              </w:rPr>
              <w:tab/>
            </w:r>
            <w:r>
              <w:rPr>
                <w:webHidden/>
              </w:rPr>
              <w:fldChar w:fldCharType="begin"/>
            </w:r>
            <w:r>
              <w:rPr>
                <w:webHidden/>
              </w:rPr>
              <w:instrText xml:space="preserve"> PAGEREF _Toc59206190 \h </w:instrText>
            </w:r>
            <w:r>
              <w:rPr>
                <w:webHidden/>
              </w:rPr>
            </w:r>
            <w:r>
              <w:rPr>
                <w:webHidden/>
              </w:rPr>
              <w:fldChar w:fldCharType="separate"/>
            </w:r>
            <w:r>
              <w:rPr>
                <w:webHidden/>
              </w:rPr>
              <w:t>10</w:t>
            </w:r>
            <w:r>
              <w:rPr>
                <w:webHidden/>
              </w:rPr>
              <w:fldChar w:fldCharType="end"/>
            </w:r>
          </w:hyperlink>
        </w:p>
        <w:p w14:paraId="425AA9A8" w14:textId="5C8C9A4E" w:rsidR="008A7AE9" w:rsidRDefault="008A7AE9">
          <w:pPr>
            <w:pStyle w:val="TOC2"/>
            <w:rPr>
              <w:rFonts w:asciiTheme="minorHAnsi" w:eastAsiaTheme="minorEastAsia" w:hAnsiTheme="minorHAnsi" w:cstheme="minorBidi"/>
              <w:b w:val="0"/>
              <w:color w:val="auto"/>
              <w:lang w:eastAsia="en-GB"/>
            </w:rPr>
          </w:pPr>
          <w:hyperlink w:anchor="_Toc59206191" w:history="1">
            <w:r w:rsidRPr="006D1981">
              <w:rPr>
                <w:rStyle w:val="Hyperlink"/>
              </w:rPr>
              <w:t>2.11.</w:t>
            </w:r>
            <w:r>
              <w:rPr>
                <w:rFonts w:asciiTheme="minorHAnsi" w:eastAsiaTheme="minorEastAsia" w:hAnsiTheme="minorHAnsi" w:cstheme="minorBidi"/>
                <w:b w:val="0"/>
                <w:color w:val="auto"/>
                <w:lang w:eastAsia="en-GB"/>
              </w:rPr>
              <w:tab/>
            </w:r>
            <w:r w:rsidRPr="006D1981">
              <w:rPr>
                <w:rStyle w:val="Hyperlink"/>
              </w:rPr>
              <w:t>Common Law Duty of Confidence</w:t>
            </w:r>
            <w:r>
              <w:rPr>
                <w:webHidden/>
              </w:rPr>
              <w:tab/>
            </w:r>
            <w:r>
              <w:rPr>
                <w:webHidden/>
              </w:rPr>
              <w:fldChar w:fldCharType="begin"/>
            </w:r>
            <w:r>
              <w:rPr>
                <w:webHidden/>
              </w:rPr>
              <w:instrText xml:space="preserve"> PAGEREF _Toc59206191 \h </w:instrText>
            </w:r>
            <w:r>
              <w:rPr>
                <w:webHidden/>
              </w:rPr>
            </w:r>
            <w:r>
              <w:rPr>
                <w:webHidden/>
              </w:rPr>
              <w:fldChar w:fldCharType="separate"/>
            </w:r>
            <w:r>
              <w:rPr>
                <w:webHidden/>
              </w:rPr>
              <w:t>11</w:t>
            </w:r>
            <w:r>
              <w:rPr>
                <w:webHidden/>
              </w:rPr>
              <w:fldChar w:fldCharType="end"/>
            </w:r>
          </w:hyperlink>
        </w:p>
        <w:p w14:paraId="2B2B6654" w14:textId="3D69BEFE" w:rsidR="008A7AE9" w:rsidRDefault="008A7AE9">
          <w:pPr>
            <w:pStyle w:val="TOC2"/>
            <w:rPr>
              <w:rFonts w:asciiTheme="minorHAnsi" w:eastAsiaTheme="minorEastAsia" w:hAnsiTheme="minorHAnsi" w:cstheme="minorBidi"/>
              <w:b w:val="0"/>
              <w:color w:val="auto"/>
              <w:lang w:eastAsia="en-GB"/>
            </w:rPr>
          </w:pPr>
          <w:hyperlink w:anchor="_Toc59206192" w:history="1">
            <w:r w:rsidRPr="006D1981">
              <w:rPr>
                <w:rStyle w:val="Hyperlink"/>
              </w:rPr>
              <w:t>2.12.</w:t>
            </w:r>
            <w:r>
              <w:rPr>
                <w:rFonts w:asciiTheme="minorHAnsi" w:eastAsiaTheme="minorEastAsia" w:hAnsiTheme="minorHAnsi" w:cstheme="minorBidi"/>
                <w:b w:val="0"/>
                <w:color w:val="auto"/>
                <w:lang w:eastAsia="en-GB"/>
              </w:rPr>
              <w:tab/>
            </w:r>
            <w:r w:rsidRPr="006D1981">
              <w:rPr>
                <w:rStyle w:val="Hyperlink"/>
              </w:rPr>
              <w:t>Freedom of Information</w:t>
            </w:r>
            <w:r>
              <w:rPr>
                <w:webHidden/>
              </w:rPr>
              <w:tab/>
            </w:r>
            <w:r>
              <w:rPr>
                <w:webHidden/>
              </w:rPr>
              <w:fldChar w:fldCharType="begin"/>
            </w:r>
            <w:r>
              <w:rPr>
                <w:webHidden/>
              </w:rPr>
              <w:instrText xml:space="preserve"> PAGEREF _Toc59206192 \h </w:instrText>
            </w:r>
            <w:r>
              <w:rPr>
                <w:webHidden/>
              </w:rPr>
            </w:r>
            <w:r>
              <w:rPr>
                <w:webHidden/>
              </w:rPr>
              <w:fldChar w:fldCharType="separate"/>
            </w:r>
            <w:r>
              <w:rPr>
                <w:webHidden/>
              </w:rPr>
              <w:t>11</w:t>
            </w:r>
            <w:r>
              <w:rPr>
                <w:webHidden/>
              </w:rPr>
              <w:fldChar w:fldCharType="end"/>
            </w:r>
          </w:hyperlink>
        </w:p>
        <w:p w14:paraId="3B017C42" w14:textId="1376837F" w:rsidR="008A7AE9" w:rsidRDefault="008A7AE9">
          <w:pPr>
            <w:pStyle w:val="TOC1"/>
            <w:rPr>
              <w:rFonts w:asciiTheme="minorHAnsi" w:eastAsiaTheme="minorEastAsia" w:hAnsiTheme="minorHAnsi" w:cstheme="minorBidi"/>
              <w:b w:val="0"/>
              <w:color w:val="auto"/>
              <w:sz w:val="22"/>
              <w:lang w:eastAsia="en-GB"/>
            </w:rPr>
          </w:pPr>
          <w:hyperlink w:anchor="_Toc59206193" w:history="1">
            <w:r w:rsidRPr="006D1981">
              <w:rPr>
                <w:rStyle w:val="Hyperlink"/>
              </w:rPr>
              <w:t>3.</w:t>
            </w:r>
            <w:r>
              <w:rPr>
                <w:rFonts w:asciiTheme="minorHAnsi" w:eastAsiaTheme="minorEastAsia" w:hAnsiTheme="minorHAnsi" w:cstheme="minorBidi"/>
                <w:b w:val="0"/>
                <w:color w:val="auto"/>
                <w:sz w:val="22"/>
                <w:lang w:eastAsia="en-GB"/>
              </w:rPr>
              <w:tab/>
            </w:r>
            <w:r w:rsidRPr="006D1981">
              <w:rPr>
                <w:rStyle w:val="Hyperlink"/>
              </w:rPr>
              <w:t>Individuals</w:t>
            </w:r>
            <w:r>
              <w:rPr>
                <w:webHidden/>
              </w:rPr>
              <w:tab/>
            </w:r>
            <w:r>
              <w:rPr>
                <w:webHidden/>
              </w:rPr>
              <w:fldChar w:fldCharType="begin"/>
            </w:r>
            <w:r>
              <w:rPr>
                <w:webHidden/>
              </w:rPr>
              <w:instrText xml:space="preserve"> PAGEREF _Toc59206193 \h </w:instrText>
            </w:r>
            <w:r>
              <w:rPr>
                <w:webHidden/>
              </w:rPr>
            </w:r>
            <w:r>
              <w:rPr>
                <w:webHidden/>
              </w:rPr>
              <w:fldChar w:fldCharType="separate"/>
            </w:r>
            <w:r>
              <w:rPr>
                <w:webHidden/>
              </w:rPr>
              <w:t>11</w:t>
            </w:r>
            <w:r>
              <w:rPr>
                <w:webHidden/>
              </w:rPr>
              <w:fldChar w:fldCharType="end"/>
            </w:r>
          </w:hyperlink>
        </w:p>
        <w:p w14:paraId="4308BE5A" w14:textId="3F975D4C" w:rsidR="008A7AE9" w:rsidRDefault="008A7AE9">
          <w:pPr>
            <w:pStyle w:val="TOC2"/>
            <w:rPr>
              <w:rFonts w:asciiTheme="minorHAnsi" w:eastAsiaTheme="minorEastAsia" w:hAnsiTheme="minorHAnsi" w:cstheme="minorBidi"/>
              <w:b w:val="0"/>
              <w:color w:val="auto"/>
              <w:lang w:eastAsia="en-GB"/>
            </w:rPr>
          </w:pPr>
          <w:hyperlink w:anchor="_Toc59206194" w:history="1">
            <w:r w:rsidRPr="006D1981">
              <w:rPr>
                <w:rStyle w:val="Hyperlink"/>
              </w:rPr>
              <w:t>3.1.</w:t>
            </w:r>
            <w:r>
              <w:rPr>
                <w:rFonts w:asciiTheme="minorHAnsi" w:eastAsiaTheme="minorEastAsia" w:hAnsiTheme="minorHAnsi" w:cstheme="minorBidi"/>
                <w:b w:val="0"/>
                <w:color w:val="auto"/>
                <w:lang w:eastAsia="en-GB"/>
              </w:rPr>
              <w:tab/>
            </w:r>
            <w:r w:rsidRPr="006D1981">
              <w:rPr>
                <w:rStyle w:val="Hyperlink"/>
              </w:rPr>
              <w:t>Right to be informed – Privacy notices</w:t>
            </w:r>
            <w:r>
              <w:rPr>
                <w:webHidden/>
              </w:rPr>
              <w:tab/>
            </w:r>
            <w:r>
              <w:rPr>
                <w:webHidden/>
              </w:rPr>
              <w:fldChar w:fldCharType="begin"/>
            </w:r>
            <w:r>
              <w:rPr>
                <w:webHidden/>
              </w:rPr>
              <w:instrText xml:space="preserve"> PAGEREF _Toc59206194 \h </w:instrText>
            </w:r>
            <w:r>
              <w:rPr>
                <w:webHidden/>
              </w:rPr>
            </w:r>
            <w:r>
              <w:rPr>
                <w:webHidden/>
              </w:rPr>
              <w:fldChar w:fldCharType="separate"/>
            </w:r>
            <w:r>
              <w:rPr>
                <w:webHidden/>
              </w:rPr>
              <w:t>12</w:t>
            </w:r>
            <w:r>
              <w:rPr>
                <w:webHidden/>
              </w:rPr>
              <w:fldChar w:fldCharType="end"/>
            </w:r>
          </w:hyperlink>
        </w:p>
        <w:p w14:paraId="417B5C62" w14:textId="01543414" w:rsidR="008A7AE9" w:rsidRDefault="008A7AE9">
          <w:pPr>
            <w:pStyle w:val="TOC2"/>
            <w:rPr>
              <w:rFonts w:asciiTheme="minorHAnsi" w:eastAsiaTheme="minorEastAsia" w:hAnsiTheme="minorHAnsi" w:cstheme="minorBidi"/>
              <w:b w:val="0"/>
              <w:color w:val="auto"/>
              <w:lang w:eastAsia="en-GB"/>
            </w:rPr>
          </w:pPr>
          <w:hyperlink w:anchor="_Toc59206195" w:history="1">
            <w:r w:rsidRPr="006D1981">
              <w:rPr>
                <w:rStyle w:val="Hyperlink"/>
              </w:rPr>
              <w:t>3.2.</w:t>
            </w:r>
            <w:r>
              <w:rPr>
                <w:rFonts w:asciiTheme="minorHAnsi" w:eastAsiaTheme="minorEastAsia" w:hAnsiTheme="minorHAnsi" w:cstheme="minorBidi"/>
                <w:b w:val="0"/>
                <w:color w:val="auto"/>
                <w:lang w:eastAsia="en-GB"/>
              </w:rPr>
              <w:tab/>
            </w:r>
            <w:r w:rsidRPr="006D1981">
              <w:rPr>
                <w:rStyle w:val="Hyperlink"/>
              </w:rPr>
              <w:t>Data subject rights requests and complaints</w:t>
            </w:r>
            <w:r>
              <w:rPr>
                <w:webHidden/>
              </w:rPr>
              <w:tab/>
            </w:r>
            <w:r>
              <w:rPr>
                <w:webHidden/>
              </w:rPr>
              <w:fldChar w:fldCharType="begin"/>
            </w:r>
            <w:r>
              <w:rPr>
                <w:webHidden/>
              </w:rPr>
              <w:instrText xml:space="preserve"> PAGEREF _Toc59206195 \h </w:instrText>
            </w:r>
            <w:r>
              <w:rPr>
                <w:webHidden/>
              </w:rPr>
            </w:r>
            <w:r>
              <w:rPr>
                <w:webHidden/>
              </w:rPr>
              <w:fldChar w:fldCharType="separate"/>
            </w:r>
            <w:r>
              <w:rPr>
                <w:webHidden/>
              </w:rPr>
              <w:t>12</w:t>
            </w:r>
            <w:r>
              <w:rPr>
                <w:webHidden/>
              </w:rPr>
              <w:fldChar w:fldCharType="end"/>
            </w:r>
          </w:hyperlink>
        </w:p>
        <w:p w14:paraId="349405B3" w14:textId="7F46BB34" w:rsidR="008A7AE9" w:rsidRDefault="008A7AE9">
          <w:pPr>
            <w:pStyle w:val="TOC2"/>
            <w:rPr>
              <w:rFonts w:asciiTheme="minorHAnsi" w:eastAsiaTheme="minorEastAsia" w:hAnsiTheme="minorHAnsi" w:cstheme="minorBidi"/>
              <w:b w:val="0"/>
              <w:color w:val="auto"/>
              <w:lang w:eastAsia="en-GB"/>
            </w:rPr>
          </w:pPr>
          <w:hyperlink w:anchor="_Toc59206196" w:history="1">
            <w:r w:rsidRPr="006D1981">
              <w:rPr>
                <w:rStyle w:val="Hyperlink"/>
              </w:rPr>
              <w:t>3.3.</w:t>
            </w:r>
            <w:r>
              <w:rPr>
                <w:rFonts w:asciiTheme="minorHAnsi" w:eastAsiaTheme="minorEastAsia" w:hAnsiTheme="minorHAnsi" w:cstheme="minorBidi"/>
                <w:b w:val="0"/>
                <w:color w:val="auto"/>
                <w:lang w:eastAsia="en-GB"/>
              </w:rPr>
              <w:tab/>
            </w:r>
            <w:r w:rsidRPr="006D1981">
              <w:rPr>
                <w:rStyle w:val="Hyperlink"/>
              </w:rPr>
              <w:t>Data subjects</w:t>
            </w:r>
            <w:r>
              <w:rPr>
                <w:webHidden/>
              </w:rPr>
              <w:tab/>
            </w:r>
            <w:r>
              <w:rPr>
                <w:webHidden/>
              </w:rPr>
              <w:fldChar w:fldCharType="begin"/>
            </w:r>
            <w:r>
              <w:rPr>
                <w:webHidden/>
              </w:rPr>
              <w:instrText xml:space="preserve"> PAGEREF _Toc59206196 \h </w:instrText>
            </w:r>
            <w:r>
              <w:rPr>
                <w:webHidden/>
              </w:rPr>
            </w:r>
            <w:r>
              <w:rPr>
                <w:webHidden/>
              </w:rPr>
              <w:fldChar w:fldCharType="separate"/>
            </w:r>
            <w:r>
              <w:rPr>
                <w:webHidden/>
              </w:rPr>
              <w:t>12</w:t>
            </w:r>
            <w:r>
              <w:rPr>
                <w:webHidden/>
              </w:rPr>
              <w:fldChar w:fldCharType="end"/>
            </w:r>
          </w:hyperlink>
        </w:p>
        <w:p w14:paraId="2DAB85A9" w14:textId="4648DC8F" w:rsidR="008A7AE9" w:rsidRDefault="008A7AE9">
          <w:pPr>
            <w:pStyle w:val="TOC1"/>
            <w:rPr>
              <w:rFonts w:asciiTheme="minorHAnsi" w:eastAsiaTheme="minorEastAsia" w:hAnsiTheme="minorHAnsi" w:cstheme="minorBidi"/>
              <w:b w:val="0"/>
              <w:color w:val="auto"/>
              <w:sz w:val="22"/>
              <w:lang w:eastAsia="en-GB"/>
            </w:rPr>
          </w:pPr>
          <w:hyperlink w:anchor="_Toc59206197" w:history="1">
            <w:r w:rsidRPr="006D1981">
              <w:rPr>
                <w:rStyle w:val="Hyperlink"/>
              </w:rPr>
              <w:t>4.</w:t>
            </w:r>
            <w:r>
              <w:rPr>
                <w:rFonts w:asciiTheme="minorHAnsi" w:eastAsiaTheme="minorEastAsia" w:hAnsiTheme="minorHAnsi" w:cstheme="minorBidi"/>
                <w:b w:val="0"/>
                <w:color w:val="auto"/>
                <w:sz w:val="22"/>
                <w:lang w:eastAsia="en-GB"/>
              </w:rPr>
              <w:tab/>
            </w:r>
            <w:r w:rsidRPr="006D1981">
              <w:rPr>
                <w:rStyle w:val="Hyperlink"/>
              </w:rPr>
              <w:t>Data</w:t>
            </w:r>
            <w:r>
              <w:rPr>
                <w:webHidden/>
              </w:rPr>
              <w:tab/>
            </w:r>
            <w:r>
              <w:rPr>
                <w:webHidden/>
              </w:rPr>
              <w:fldChar w:fldCharType="begin"/>
            </w:r>
            <w:r>
              <w:rPr>
                <w:webHidden/>
              </w:rPr>
              <w:instrText xml:space="preserve"> PAGEREF _Toc59206197 \h </w:instrText>
            </w:r>
            <w:r>
              <w:rPr>
                <w:webHidden/>
              </w:rPr>
            </w:r>
            <w:r>
              <w:rPr>
                <w:webHidden/>
              </w:rPr>
              <w:fldChar w:fldCharType="separate"/>
            </w:r>
            <w:r>
              <w:rPr>
                <w:webHidden/>
              </w:rPr>
              <w:t>13</w:t>
            </w:r>
            <w:r>
              <w:rPr>
                <w:webHidden/>
              </w:rPr>
              <w:fldChar w:fldCharType="end"/>
            </w:r>
          </w:hyperlink>
        </w:p>
        <w:p w14:paraId="283371DF" w14:textId="05ABF232" w:rsidR="008A7AE9" w:rsidRDefault="008A7AE9">
          <w:pPr>
            <w:pStyle w:val="TOC2"/>
            <w:rPr>
              <w:rFonts w:asciiTheme="minorHAnsi" w:eastAsiaTheme="minorEastAsia" w:hAnsiTheme="minorHAnsi" w:cstheme="minorBidi"/>
              <w:b w:val="0"/>
              <w:color w:val="auto"/>
              <w:lang w:eastAsia="en-GB"/>
            </w:rPr>
          </w:pPr>
          <w:hyperlink w:anchor="_Toc59206198" w:history="1">
            <w:r w:rsidRPr="006D1981">
              <w:rPr>
                <w:rStyle w:val="Hyperlink"/>
              </w:rPr>
              <w:t>4.1.</w:t>
            </w:r>
            <w:r>
              <w:rPr>
                <w:rFonts w:asciiTheme="minorHAnsi" w:eastAsiaTheme="minorEastAsia" w:hAnsiTheme="minorHAnsi" w:cstheme="minorBidi"/>
                <w:b w:val="0"/>
                <w:color w:val="auto"/>
                <w:lang w:eastAsia="en-GB"/>
              </w:rPr>
              <w:tab/>
            </w:r>
            <w:r w:rsidRPr="006D1981">
              <w:rPr>
                <w:rStyle w:val="Hyperlink"/>
              </w:rPr>
              <w:t>The data to be shared</w:t>
            </w:r>
            <w:r>
              <w:rPr>
                <w:webHidden/>
              </w:rPr>
              <w:tab/>
            </w:r>
            <w:r>
              <w:rPr>
                <w:webHidden/>
              </w:rPr>
              <w:fldChar w:fldCharType="begin"/>
            </w:r>
            <w:r>
              <w:rPr>
                <w:webHidden/>
              </w:rPr>
              <w:instrText xml:space="preserve"> PAGEREF _Toc59206198 \h </w:instrText>
            </w:r>
            <w:r>
              <w:rPr>
                <w:webHidden/>
              </w:rPr>
            </w:r>
            <w:r>
              <w:rPr>
                <w:webHidden/>
              </w:rPr>
              <w:fldChar w:fldCharType="separate"/>
            </w:r>
            <w:r>
              <w:rPr>
                <w:webHidden/>
              </w:rPr>
              <w:t>13</w:t>
            </w:r>
            <w:r>
              <w:rPr>
                <w:webHidden/>
              </w:rPr>
              <w:fldChar w:fldCharType="end"/>
            </w:r>
          </w:hyperlink>
        </w:p>
        <w:p w14:paraId="58A44ACE" w14:textId="6636A73C" w:rsidR="008A7AE9" w:rsidRDefault="008A7AE9">
          <w:pPr>
            <w:pStyle w:val="TOC2"/>
            <w:rPr>
              <w:rFonts w:asciiTheme="minorHAnsi" w:eastAsiaTheme="minorEastAsia" w:hAnsiTheme="minorHAnsi" w:cstheme="minorBidi"/>
              <w:b w:val="0"/>
              <w:color w:val="auto"/>
              <w:lang w:eastAsia="en-GB"/>
            </w:rPr>
          </w:pPr>
          <w:hyperlink w:anchor="_Toc59206199" w:history="1">
            <w:r w:rsidRPr="006D1981">
              <w:rPr>
                <w:rStyle w:val="Hyperlink"/>
              </w:rPr>
              <w:t>4.2.</w:t>
            </w:r>
            <w:r>
              <w:rPr>
                <w:rFonts w:asciiTheme="minorHAnsi" w:eastAsiaTheme="minorEastAsia" w:hAnsiTheme="minorHAnsi" w:cstheme="minorBidi"/>
                <w:b w:val="0"/>
                <w:color w:val="auto"/>
                <w:lang w:eastAsia="en-GB"/>
              </w:rPr>
              <w:tab/>
            </w:r>
            <w:r w:rsidRPr="006D1981">
              <w:rPr>
                <w:rStyle w:val="Hyperlink"/>
              </w:rPr>
              <w:t>Deceased persons</w:t>
            </w:r>
            <w:r>
              <w:rPr>
                <w:webHidden/>
              </w:rPr>
              <w:tab/>
            </w:r>
            <w:r>
              <w:rPr>
                <w:webHidden/>
              </w:rPr>
              <w:fldChar w:fldCharType="begin"/>
            </w:r>
            <w:r>
              <w:rPr>
                <w:webHidden/>
              </w:rPr>
              <w:instrText xml:space="preserve"> PAGEREF _Toc59206199 \h </w:instrText>
            </w:r>
            <w:r>
              <w:rPr>
                <w:webHidden/>
              </w:rPr>
            </w:r>
            <w:r>
              <w:rPr>
                <w:webHidden/>
              </w:rPr>
              <w:fldChar w:fldCharType="separate"/>
            </w:r>
            <w:r>
              <w:rPr>
                <w:webHidden/>
              </w:rPr>
              <w:t>14</w:t>
            </w:r>
            <w:r>
              <w:rPr>
                <w:webHidden/>
              </w:rPr>
              <w:fldChar w:fldCharType="end"/>
            </w:r>
          </w:hyperlink>
        </w:p>
        <w:p w14:paraId="31D6B606" w14:textId="729FD947" w:rsidR="008A7AE9" w:rsidRDefault="008A7AE9">
          <w:pPr>
            <w:pStyle w:val="TOC2"/>
            <w:rPr>
              <w:rFonts w:asciiTheme="minorHAnsi" w:eastAsiaTheme="minorEastAsia" w:hAnsiTheme="minorHAnsi" w:cstheme="minorBidi"/>
              <w:b w:val="0"/>
              <w:color w:val="auto"/>
              <w:lang w:eastAsia="en-GB"/>
            </w:rPr>
          </w:pPr>
          <w:hyperlink w:anchor="_Toc59206200" w:history="1">
            <w:r w:rsidRPr="006D1981">
              <w:rPr>
                <w:rStyle w:val="Hyperlink"/>
              </w:rPr>
              <w:t>4.3.</w:t>
            </w:r>
            <w:r>
              <w:rPr>
                <w:rFonts w:asciiTheme="minorHAnsi" w:eastAsiaTheme="minorEastAsia" w:hAnsiTheme="minorHAnsi" w:cstheme="minorBidi"/>
                <w:b w:val="0"/>
                <w:color w:val="auto"/>
                <w:lang w:eastAsia="en-GB"/>
              </w:rPr>
              <w:tab/>
            </w:r>
            <w:r w:rsidRPr="006D1981">
              <w:rPr>
                <w:rStyle w:val="Hyperlink"/>
              </w:rPr>
              <w:t>Confidential information</w:t>
            </w:r>
            <w:r>
              <w:rPr>
                <w:webHidden/>
              </w:rPr>
              <w:tab/>
            </w:r>
            <w:r>
              <w:rPr>
                <w:webHidden/>
              </w:rPr>
              <w:fldChar w:fldCharType="begin"/>
            </w:r>
            <w:r>
              <w:rPr>
                <w:webHidden/>
              </w:rPr>
              <w:instrText xml:space="preserve"> PAGEREF _Toc59206200 \h </w:instrText>
            </w:r>
            <w:r>
              <w:rPr>
                <w:webHidden/>
              </w:rPr>
            </w:r>
            <w:r>
              <w:rPr>
                <w:webHidden/>
              </w:rPr>
              <w:fldChar w:fldCharType="separate"/>
            </w:r>
            <w:r>
              <w:rPr>
                <w:webHidden/>
              </w:rPr>
              <w:t>14</w:t>
            </w:r>
            <w:r>
              <w:rPr>
                <w:webHidden/>
              </w:rPr>
              <w:fldChar w:fldCharType="end"/>
            </w:r>
          </w:hyperlink>
        </w:p>
        <w:p w14:paraId="1511E152" w14:textId="13EE1E67" w:rsidR="008A7AE9" w:rsidRDefault="008A7AE9">
          <w:pPr>
            <w:pStyle w:val="TOC2"/>
            <w:rPr>
              <w:rFonts w:asciiTheme="minorHAnsi" w:eastAsiaTheme="minorEastAsia" w:hAnsiTheme="minorHAnsi" w:cstheme="minorBidi"/>
              <w:b w:val="0"/>
              <w:color w:val="auto"/>
              <w:lang w:eastAsia="en-GB"/>
            </w:rPr>
          </w:pPr>
          <w:hyperlink w:anchor="_Toc59206201" w:history="1">
            <w:r w:rsidRPr="006D1981">
              <w:rPr>
                <w:rStyle w:val="Hyperlink"/>
              </w:rPr>
              <w:t>4.4.</w:t>
            </w:r>
            <w:r>
              <w:rPr>
                <w:rFonts w:asciiTheme="minorHAnsi" w:eastAsiaTheme="minorEastAsia" w:hAnsiTheme="minorHAnsi" w:cstheme="minorBidi"/>
                <w:b w:val="0"/>
                <w:color w:val="auto"/>
                <w:lang w:eastAsia="en-GB"/>
              </w:rPr>
              <w:tab/>
            </w:r>
            <w:r w:rsidRPr="006D1981">
              <w:rPr>
                <w:rStyle w:val="Hyperlink"/>
              </w:rPr>
              <w:t>Storing and handling information securely</w:t>
            </w:r>
            <w:r>
              <w:rPr>
                <w:webHidden/>
              </w:rPr>
              <w:tab/>
            </w:r>
            <w:r>
              <w:rPr>
                <w:webHidden/>
              </w:rPr>
              <w:fldChar w:fldCharType="begin"/>
            </w:r>
            <w:r>
              <w:rPr>
                <w:webHidden/>
              </w:rPr>
              <w:instrText xml:space="preserve"> PAGEREF _Toc59206201 \h </w:instrText>
            </w:r>
            <w:r>
              <w:rPr>
                <w:webHidden/>
              </w:rPr>
            </w:r>
            <w:r>
              <w:rPr>
                <w:webHidden/>
              </w:rPr>
              <w:fldChar w:fldCharType="separate"/>
            </w:r>
            <w:r>
              <w:rPr>
                <w:webHidden/>
              </w:rPr>
              <w:t>14</w:t>
            </w:r>
            <w:r>
              <w:rPr>
                <w:webHidden/>
              </w:rPr>
              <w:fldChar w:fldCharType="end"/>
            </w:r>
          </w:hyperlink>
        </w:p>
        <w:p w14:paraId="69FDB1CC" w14:textId="73F24787" w:rsidR="008A7AE9" w:rsidRDefault="008A7AE9">
          <w:pPr>
            <w:pStyle w:val="TOC2"/>
            <w:rPr>
              <w:rFonts w:asciiTheme="minorHAnsi" w:eastAsiaTheme="minorEastAsia" w:hAnsiTheme="minorHAnsi" w:cstheme="minorBidi"/>
              <w:b w:val="0"/>
              <w:color w:val="auto"/>
              <w:lang w:eastAsia="en-GB"/>
            </w:rPr>
          </w:pPr>
          <w:hyperlink w:anchor="_Toc59206202" w:history="1">
            <w:r w:rsidRPr="006D1981">
              <w:rPr>
                <w:rStyle w:val="Hyperlink"/>
              </w:rPr>
              <w:t>4.5.</w:t>
            </w:r>
            <w:r>
              <w:rPr>
                <w:rFonts w:asciiTheme="minorHAnsi" w:eastAsiaTheme="minorEastAsia" w:hAnsiTheme="minorHAnsi" w:cstheme="minorBidi"/>
                <w:b w:val="0"/>
                <w:color w:val="auto"/>
                <w:lang w:eastAsia="en-GB"/>
              </w:rPr>
              <w:tab/>
            </w:r>
            <w:r w:rsidRPr="006D1981">
              <w:rPr>
                <w:rStyle w:val="Hyperlink"/>
              </w:rPr>
              <w:t>Access controls and security</w:t>
            </w:r>
            <w:r>
              <w:rPr>
                <w:webHidden/>
              </w:rPr>
              <w:tab/>
            </w:r>
            <w:r>
              <w:rPr>
                <w:webHidden/>
              </w:rPr>
              <w:fldChar w:fldCharType="begin"/>
            </w:r>
            <w:r>
              <w:rPr>
                <w:webHidden/>
              </w:rPr>
              <w:instrText xml:space="preserve"> PAGEREF _Toc59206202 \h </w:instrText>
            </w:r>
            <w:r>
              <w:rPr>
                <w:webHidden/>
              </w:rPr>
            </w:r>
            <w:r>
              <w:rPr>
                <w:webHidden/>
              </w:rPr>
              <w:fldChar w:fldCharType="separate"/>
            </w:r>
            <w:r>
              <w:rPr>
                <w:webHidden/>
              </w:rPr>
              <w:t>15</w:t>
            </w:r>
            <w:r>
              <w:rPr>
                <w:webHidden/>
              </w:rPr>
              <w:fldChar w:fldCharType="end"/>
            </w:r>
          </w:hyperlink>
        </w:p>
        <w:p w14:paraId="449AC2FD" w14:textId="3ED91C90" w:rsidR="008A7AE9" w:rsidRDefault="008A7AE9">
          <w:pPr>
            <w:pStyle w:val="TOC2"/>
            <w:rPr>
              <w:rFonts w:asciiTheme="minorHAnsi" w:eastAsiaTheme="minorEastAsia" w:hAnsiTheme="minorHAnsi" w:cstheme="minorBidi"/>
              <w:b w:val="0"/>
              <w:color w:val="auto"/>
              <w:lang w:eastAsia="en-GB"/>
            </w:rPr>
          </w:pPr>
          <w:hyperlink w:anchor="_Toc59206203" w:history="1">
            <w:r w:rsidRPr="006D1981">
              <w:rPr>
                <w:rStyle w:val="Hyperlink"/>
              </w:rPr>
              <w:t>4.6.</w:t>
            </w:r>
            <w:r>
              <w:rPr>
                <w:rFonts w:asciiTheme="minorHAnsi" w:eastAsiaTheme="minorEastAsia" w:hAnsiTheme="minorHAnsi" w:cstheme="minorBidi"/>
                <w:b w:val="0"/>
                <w:color w:val="auto"/>
                <w:lang w:eastAsia="en-GB"/>
              </w:rPr>
              <w:tab/>
            </w:r>
            <w:r w:rsidRPr="006D1981">
              <w:rPr>
                <w:rStyle w:val="Hyperlink"/>
              </w:rPr>
              <w:t>Outside UK processing</w:t>
            </w:r>
            <w:r>
              <w:rPr>
                <w:webHidden/>
              </w:rPr>
              <w:tab/>
            </w:r>
            <w:r>
              <w:rPr>
                <w:webHidden/>
              </w:rPr>
              <w:fldChar w:fldCharType="begin"/>
            </w:r>
            <w:r>
              <w:rPr>
                <w:webHidden/>
              </w:rPr>
              <w:instrText xml:space="preserve"> PAGEREF _Toc59206203 \h </w:instrText>
            </w:r>
            <w:r>
              <w:rPr>
                <w:webHidden/>
              </w:rPr>
            </w:r>
            <w:r>
              <w:rPr>
                <w:webHidden/>
              </w:rPr>
              <w:fldChar w:fldCharType="separate"/>
            </w:r>
            <w:r>
              <w:rPr>
                <w:webHidden/>
              </w:rPr>
              <w:t>15</w:t>
            </w:r>
            <w:r>
              <w:rPr>
                <w:webHidden/>
              </w:rPr>
              <w:fldChar w:fldCharType="end"/>
            </w:r>
          </w:hyperlink>
        </w:p>
        <w:p w14:paraId="003742A0" w14:textId="7D65326E" w:rsidR="008A7AE9" w:rsidRDefault="008A7AE9">
          <w:pPr>
            <w:pStyle w:val="TOC2"/>
            <w:rPr>
              <w:rFonts w:asciiTheme="minorHAnsi" w:eastAsiaTheme="minorEastAsia" w:hAnsiTheme="minorHAnsi" w:cstheme="minorBidi"/>
              <w:b w:val="0"/>
              <w:color w:val="auto"/>
              <w:lang w:eastAsia="en-GB"/>
            </w:rPr>
          </w:pPr>
          <w:hyperlink w:anchor="_Toc59206204" w:history="1">
            <w:r w:rsidRPr="006D1981">
              <w:rPr>
                <w:rStyle w:val="Hyperlink"/>
              </w:rPr>
              <w:t>4.7.</w:t>
            </w:r>
            <w:r>
              <w:rPr>
                <w:rFonts w:asciiTheme="minorHAnsi" w:eastAsiaTheme="minorEastAsia" w:hAnsiTheme="minorHAnsi" w:cstheme="minorBidi"/>
                <w:b w:val="0"/>
                <w:color w:val="auto"/>
                <w:lang w:eastAsia="en-GB"/>
              </w:rPr>
              <w:tab/>
            </w:r>
            <w:r w:rsidRPr="006D1981">
              <w:rPr>
                <w:rStyle w:val="Hyperlink"/>
              </w:rPr>
              <w:t>Data quality</w:t>
            </w:r>
            <w:r>
              <w:rPr>
                <w:webHidden/>
              </w:rPr>
              <w:tab/>
            </w:r>
            <w:r>
              <w:rPr>
                <w:webHidden/>
              </w:rPr>
              <w:fldChar w:fldCharType="begin"/>
            </w:r>
            <w:r>
              <w:rPr>
                <w:webHidden/>
              </w:rPr>
              <w:instrText xml:space="preserve"> PAGEREF _Toc59206204 \h </w:instrText>
            </w:r>
            <w:r>
              <w:rPr>
                <w:webHidden/>
              </w:rPr>
            </w:r>
            <w:r>
              <w:rPr>
                <w:webHidden/>
              </w:rPr>
              <w:fldChar w:fldCharType="separate"/>
            </w:r>
            <w:r>
              <w:rPr>
                <w:webHidden/>
              </w:rPr>
              <w:t>15</w:t>
            </w:r>
            <w:r>
              <w:rPr>
                <w:webHidden/>
              </w:rPr>
              <w:fldChar w:fldCharType="end"/>
            </w:r>
          </w:hyperlink>
        </w:p>
        <w:p w14:paraId="63039804" w14:textId="3AC15105" w:rsidR="008A7AE9" w:rsidRDefault="008A7AE9">
          <w:pPr>
            <w:pStyle w:val="TOC2"/>
            <w:rPr>
              <w:rFonts w:asciiTheme="minorHAnsi" w:eastAsiaTheme="minorEastAsia" w:hAnsiTheme="minorHAnsi" w:cstheme="minorBidi"/>
              <w:b w:val="0"/>
              <w:color w:val="auto"/>
              <w:lang w:eastAsia="en-GB"/>
            </w:rPr>
          </w:pPr>
          <w:hyperlink w:anchor="_Toc59206205" w:history="1">
            <w:r w:rsidRPr="006D1981">
              <w:rPr>
                <w:rStyle w:val="Hyperlink"/>
              </w:rPr>
              <w:t>4.8.</w:t>
            </w:r>
            <w:r>
              <w:rPr>
                <w:rFonts w:asciiTheme="minorHAnsi" w:eastAsiaTheme="minorEastAsia" w:hAnsiTheme="minorHAnsi" w:cstheme="minorBidi"/>
                <w:b w:val="0"/>
                <w:color w:val="auto"/>
                <w:lang w:eastAsia="en-GB"/>
              </w:rPr>
              <w:tab/>
            </w:r>
            <w:r w:rsidRPr="006D1981">
              <w:rPr>
                <w:rStyle w:val="Hyperlink"/>
              </w:rPr>
              <w:t>Data breaches/incidents</w:t>
            </w:r>
            <w:r>
              <w:rPr>
                <w:webHidden/>
              </w:rPr>
              <w:tab/>
            </w:r>
            <w:r>
              <w:rPr>
                <w:webHidden/>
              </w:rPr>
              <w:fldChar w:fldCharType="begin"/>
            </w:r>
            <w:r>
              <w:rPr>
                <w:webHidden/>
              </w:rPr>
              <w:instrText xml:space="preserve"> PAGEREF _Toc59206205 \h </w:instrText>
            </w:r>
            <w:r>
              <w:rPr>
                <w:webHidden/>
              </w:rPr>
            </w:r>
            <w:r>
              <w:rPr>
                <w:webHidden/>
              </w:rPr>
              <w:fldChar w:fldCharType="separate"/>
            </w:r>
            <w:r>
              <w:rPr>
                <w:webHidden/>
              </w:rPr>
              <w:t>15</w:t>
            </w:r>
            <w:r>
              <w:rPr>
                <w:webHidden/>
              </w:rPr>
              <w:fldChar w:fldCharType="end"/>
            </w:r>
          </w:hyperlink>
        </w:p>
        <w:p w14:paraId="1BEBAB85" w14:textId="3A7F7E3D" w:rsidR="008A7AE9" w:rsidRDefault="008A7AE9">
          <w:pPr>
            <w:pStyle w:val="TOC2"/>
            <w:rPr>
              <w:rFonts w:asciiTheme="minorHAnsi" w:eastAsiaTheme="minorEastAsia" w:hAnsiTheme="minorHAnsi" w:cstheme="minorBidi"/>
              <w:b w:val="0"/>
              <w:color w:val="auto"/>
              <w:lang w:eastAsia="en-GB"/>
            </w:rPr>
          </w:pPr>
          <w:hyperlink w:anchor="_Toc59206206" w:history="1">
            <w:r w:rsidRPr="006D1981">
              <w:rPr>
                <w:rStyle w:val="Hyperlink"/>
              </w:rPr>
              <w:t>4.9.</w:t>
            </w:r>
            <w:r>
              <w:rPr>
                <w:rFonts w:asciiTheme="minorHAnsi" w:eastAsiaTheme="minorEastAsia" w:hAnsiTheme="minorHAnsi" w:cstheme="minorBidi"/>
                <w:b w:val="0"/>
                <w:color w:val="auto"/>
                <w:lang w:eastAsia="en-GB"/>
              </w:rPr>
              <w:tab/>
            </w:r>
            <w:r w:rsidRPr="006D1981">
              <w:rPr>
                <w:rStyle w:val="Hyperlink"/>
              </w:rPr>
              <w:t>Retention &amp; Disposal</w:t>
            </w:r>
            <w:r>
              <w:rPr>
                <w:webHidden/>
              </w:rPr>
              <w:tab/>
            </w:r>
            <w:r>
              <w:rPr>
                <w:webHidden/>
              </w:rPr>
              <w:fldChar w:fldCharType="begin"/>
            </w:r>
            <w:r>
              <w:rPr>
                <w:webHidden/>
              </w:rPr>
              <w:instrText xml:space="preserve"> PAGEREF _Toc59206206 \h </w:instrText>
            </w:r>
            <w:r>
              <w:rPr>
                <w:webHidden/>
              </w:rPr>
            </w:r>
            <w:r>
              <w:rPr>
                <w:webHidden/>
              </w:rPr>
              <w:fldChar w:fldCharType="separate"/>
            </w:r>
            <w:r>
              <w:rPr>
                <w:webHidden/>
              </w:rPr>
              <w:t>16</w:t>
            </w:r>
            <w:r>
              <w:rPr>
                <w:webHidden/>
              </w:rPr>
              <w:fldChar w:fldCharType="end"/>
            </w:r>
          </w:hyperlink>
        </w:p>
        <w:p w14:paraId="3B1FDBEB" w14:textId="7170365A" w:rsidR="008A7AE9" w:rsidRDefault="008A7AE9">
          <w:pPr>
            <w:pStyle w:val="TOC1"/>
            <w:rPr>
              <w:rFonts w:asciiTheme="minorHAnsi" w:eastAsiaTheme="minorEastAsia" w:hAnsiTheme="minorHAnsi" w:cstheme="minorBidi"/>
              <w:b w:val="0"/>
              <w:color w:val="auto"/>
              <w:sz w:val="22"/>
              <w:lang w:eastAsia="en-GB"/>
            </w:rPr>
          </w:pPr>
          <w:hyperlink w:anchor="_Toc59206207" w:history="1">
            <w:r w:rsidRPr="006D1981">
              <w:rPr>
                <w:rStyle w:val="Hyperlink"/>
              </w:rPr>
              <w:t>5.</w:t>
            </w:r>
            <w:r>
              <w:rPr>
                <w:rFonts w:asciiTheme="minorHAnsi" w:eastAsiaTheme="minorEastAsia" w:hAnsiTheme="minorHAnsi" w:cstheme="minorBidi"/>
                <w:b w:val="0"/>
                <w:color w:val="auto"/>
                <w:sz w:val="22"/>
                <w:lang w:eastAsia="en-GB"/>
              </w:rPr>
              <w:tab/>
            </w:r>
            <w:r w:rsidRPr="006D1981">
              <w:rPr>
                <w:rStyle w:val="Hyperlink"/>
              </w:rPr>
              <w:t>Appendix A – Parties to this agreement</w:t>
            </w:r>
            <w:r>
              <w:rPr>
                <w:webHidden/>
              </w:rPr>
              <w:tab/>
            </w:r>
            <w:r>
              <w:rPr>
                <w:webHidden/>
              </w:rPr>
              <w:fldChar w:fldCharType="begin"/>
            </w:r>
            <w:r>
              <w:rPr>
                <w:webHidden/>
              </w:rPr>
              <w:instrText xml:space="preserve"> PAGEREF _Toc59206207 \h </w:instrText>
            </w:r>
            <w:r>
              <w:rPr>
                <w:webHidden/>
              </w:rPr>
            </w:r>
            <w:r>
              <w:rPr>
                <w:webHidden/>
              </w:rPr>
              <w:fldChar w:fldCharType="separate"/>
            </w:r>
            <w:r>
              <w:rPr>
                <w:webHidden/>
              </w:rPr>
              <w:t>17</w:t>
            </w:r>
            <w:r>
              <w:rPr>
                <w:webHidden/>
              </w:rPr>
              <w:fldChar w:fldCharType="end"/>
            </w:r>
          </w:hyperlink>
        </w:p>
        <w:p w14:paraId="50448E9A" w14:textId="6BD7ED34" w:rsidR="008A7AE9" w:rsidRDefault="008A7AE9">
          <w:pPr>
            <w:pStyle w:val="TOC1"/>
            <w:rPr>
              <w:rFonts w:asciiTheme="minorHAnsi" w:eastAsiaTheme="minorEastAsia" w:hAnsiTheme="minorHAnsi" w:cstheme="minorBidi"/>
              <w:b w:val="0"/>
              <w:color w:val="auto"/>
              <w:sz w:val="22"/>
              <w:lang w:eastAsia="en-GB"/>
            </w:rPr>
          </w:pPr>
          <w:hyperlink w:anchor="_Toc59206208" w:history="1">
            <w:r w:rsidRPr="006D1981">
              <w:rPr>
                <w:rStyle w:val="Hyperlink"/>
              </w:rPr>
              <w:t>6.</w:t>
            </w:r>
            <w:r>
              <w:rPr>
                <w:rFonts w:asciiTheme="minorHAnsi" w:eastAsiaTheme="minorEastAsia" w:hAnsiTheme="minorHAnsi" w:cstheme="minorBidi"/>
                <w:b w:val="0"/>
                <w:color w:val="auto"/>
                <w:sz w:val="22"/>
                <w:lang w:eastAsia="en-GB"/>
              </w:rPr>
              <w:tab/>
            </w:r>
            <w:r w:rsidRPr="006D1981">
              <w:rPr>
                <w:rStyle w:val="Hyperlink"/>
              </w:rPr>
              <w:t>Appendix B: Data Protection &amp; Caldicott Principles</w:t>
            </w:r>
            <w:r>
              <w:rPr>
                <w:webHidden/>
              </w:rPr>
              <w:tab/>
            </w:r>
            <w:r>
              <w:rPr>
                <w:webHidden/>
              </w:rPr>
              <w:fldChar w:fldCharType="begin"/>
            </w:r>
            <w:r>
              <w:rPr>
                <w:webHidden/>
              </w:rPr>
              <w:instrText xml:space="preserve"> PAGEREF _Toc59206208 \h </w:instrText>
            </w:r>
            <w:r>
              <w:rPr>
                <w:webHidden/>
              </w:rPr>
            </w:r>
            <w:r>
              <w:rPr>
                <w:webHidden/>
              </w:rPr>
              <w:fldChar w:fldCharType="separate"/>
            </w:r>
            <w:r>
              <w:rPr>
                <w:webHidden/>
              </w:rPr>
              <w:t>19</w:t>
            </w:r>
            <w:r>
              <w:rPr>
                <w:webHidden/>
              </w:rPr>
              <w:fldChar w:fldCharType="end"/>
            </w:r>
          </w:hyperlink>
        </w:p>
        <w:p w14:paraId="711F87AE" w14:textId="524D01FA" w:rsidR="008A7AE9" w:rsidRDefault="008A7AE9">
          <w:pPr>
            <w:pStyle w:val="TOC1"/>
            <w:rPr>
              <w:rFonts w:asciiTheme="minorHAnsi" w:eastAsiaTheme="minorEastAsia" w:hAnsiTheme="minorHAnsi" w:cstheme="minorBidi"/>
              <w:b w:val="0"/>
              <w:color w:val="auto"/>
              <w:sz w:val="22"/>
              <w:lang w:eastAsia="en-GB"/>
            </w:rPr>
          </w:pPr>
          <w:hyperlink w:anchor="_Toc59206209" w:history="1">
            <w:r w:rsidRPr="006D1981">
              <w:rPr>
                <w:rStyle w:val="Hyperlink"/>
              </w:rPr>
              <w:t>7.</w:t>
            </w:r>
            <w:r>
              <w:rPr>
                <w:rFonts w:asciiTheme="minorHAnsi" w:eastAsiaTheme="minorEastAsia" w:hAnsiTheme="minorHAnsi" w:cstheme="minorBidi"/>
                <w:b w:val="0"/>
                <w:color w:val="auto"/>
                <w:sz w:val="22"/>
                <w:lang w:eastAsia="en-GB"/>
              </w:rPr>
              <w:tab/>
            </w:r>
            <w:r w:rsidRPr="006D1981">
              <w:rPr>
                <w:rStyle w:val="Hyperlink"/>
              </w:rPr>
              <w:t>Appendix C – Applicable legislation</w:t>
            </w:r>
            <w:r>
              <w:rPr>
                <w:webHidden/>
              </w:rPr>
              <w:tab/>
            </w:r>
            <w:r>
              <w:rPr>
                <w:webHidden/>
              </w:rPr>
              <w:fldChar w:fldCharType="begin"/>
            </w:r>
            <w:r>
              <w:rPr>
                <w:webHidden/>
              </w:rPr>
              <w:instrText xml:space="preserve"> PAGEREF _Toc59206209 \h </w:instrText>
            </w:r>
            <w:r>
              <w:rPr>
                <w:webHidden/>
              </w:rPr>
            </w:r>
            <w:r>
              <w:rPr>
                <w:webHidden/>
              </w:rPr>
              <w:fldChar w:fldCharType="separate"/>
            </w:r>
            <w:r>
              <w:rPr>
                <w:webHidden/>
              </w:rPr>
              <w:t>20</w:t>
            </w:r>
            <w:r>
              <w:rPr>
                <w:webHidden/>
              </w:rPr>
              <w:fldChar w:fldCharType="end"/>
            </w:r>
          </w:hyperlink>
        </w:p>
        <w:p w14:paraId="61A500F7" w14:textId="1ED21610" w:rsidR="008A7AE9" w:rsidRDefault="008A7AE9">
          <w:pPr>
            <w:pStyle w:val="TOC1"/>
            <w:rPr>
              <w:rFonts w:asciiTheme="minorHAnsi" w:eastAsiaTheme="minorEastAsia" w:hAnsiTheme="minorHAnsi" w:cstheme="minorBidi"/>
              <w:b w:val="0"/>
              <w:color w:val="auto"/>
              <w:sz w:val="22"/>
              <w:lang w:eastAsia="en-GB"/>
            </w:rPr>
          </w:pPr>
          <w:hyperlink w:anchor="_Toc59206210" w:history="1">
            <w:r w:rsidRPr="006D1981">
              <w:rPr>
                <w:rStyle w:val="Hyperlink"/>
              </w:rPr>
              <w:t>8.</w:t>
            </w:r>
            <w:r>
              <w:rPr>
                <w:rFonts w:asciiTheme="minorHAnsi" w:eastAsiaTheme="minorEastAsia" w:hAnsiTheme="minorHAnsi" w:cstheme="minorBidi"/>
                <w:b w:val="0"/>
                <w:color w:val="auto"/>
                <w:sz w:val="22"/>
                <w:lang w:eastAsia="en-GB"/>
              </w:rPr>
              <w:tab/>
            </w:r>
            <w:r w:rsidRPr="006D1981">
              <w:rPr>
                <w:rStyle w:val="Hyperlink"/>
              </w:rPr>
              <w:t>Appendix D: Informatio</w:t>
            </w:r>
            <w:r w:rsidRPr="006D1981">
              <w:rPr>
                <w:rStyle w:val="Hyperlink"/>
              </w:rPr>
              <w:t>n</w:t>
            </w:r>
            <w:r w:rsidRPr="006D1981">
              <w:rPr>
                <w:rStyle w:val="Hyperlink"/>
              </w:rPr>
              <w:t xml:space="preserve"> Sharing Checklist</w:t>
            </w:r>
            <w:r>
              <w:rPr>
                <w:webHidden/>
              </w:rPr>
              <w:tab/>
            </w:r>
            <w:r>
              <w:rPr>
                <w:webHidden/>
              </w:rPr>
              <w:fldChar w:fldCharType="begin"/>
            </w:r>
            <w:r>
              <w:rPr>
                <w:webHidden/>
              </w:rPr>
              <w:instrText xml:space="preserve"> PAGEREF _Toc59206210 \h </w:instrText>
            </w:r>
            <w:r>
              <w:rPr>
                <w:webHidden/>
              </w:rPr>
            </w:r>
            <w:r>
              <w:rPr>
                <w:webHidden/>
              </w:rPr>
              <w:fldChar w:fldCharType="separate"/>
            </w:r>
            <w:r>
              <w:rPr>
                <w:webHidden/>
              </w:rPr>
              <w:t>25</w:t>
            </w:r>
            <w:r>
              <w:rPr>
                <w:webHidden/>
              </w:rPr>
              <w:fldChar w:fldCharType="end"/>
            </w:r>
          </w:hyperlink>
        </w:p>
        <w:p w14:paraId="77B90458" w14:textId="43802D30" w:rsidR="00F10EA3" w:rsidRPr="00080145" w:rsidRDefault="00A52375" w:rsidP="001B451C">
          <w:r w:rsidRPr="00080145">
            <w:rPr>
              <w:b/>
              <w:bCs/>
            </w:rPr>
            <w:fldChar w:fldCharType="end"/>
          </w:r>
        </w:p>
      </w:sdtContent>
    </w:sdt>
    <w:p w14:paraId="405FE368" w14:textId="4D06D396" w:rsidR="000456E2" w:rsidRPr="00080145" w:rsidRDefault="000456E2" w:rsidP="007F1426">
      <w:pPr>
        <w:pStyle w:val="Heading1"/>
      </w:pPr>
      <w:bookmarkStart w:id="1" w:name="_Toc258242036"/>
      <w:bookmarkStart w:id="2" w:name="_Toc51582903"/>
      <w:bookmarkStart w:id="3" w:name="_Toc59206173"/>
      <w:r w:rsidRPr="00080145">
        <w:t>Introduction</w:t>
      </w:r>
      <w:bookmarkEnd w:id="1"/>
      <w:bookmarkEnd w:id="2"/>
      <w:r w:rsidR="00D916F1" w:rsidRPr="00080145">
        <w:t xml:space="preserve"> to the </w:t>
      </w:r>
      <w:r w:rsidR="008A7AE9">
        <w:t xml:space="preserve">Data </w:t>
      </w:r>
      <w:r w:rsidR="00D916F1" w:rsidRPr="00080145">
        <w:t>Sharing</w:t>
      </w:r>
      <w:r w:rsidR="008A7AE9">
        <w:t xml:space="preserve"> Agreement</w:t>
      </w:r>
      <w:bookmarkEnd w:id="3"/>
    </w:p>
    <w:p w14:paraId="01B80799" w14:textId="631638EB" w:rsidR="00AB66F9" w:rsidRPr="00080145" w:rsidRDefault="00AB66F9" w:rsidP="00AB66F9">
      <w:pPr>
        <w:rPr>
          <w:color w:val="auto"/>
        </w:rPr>
      </w:pPr>
      <w:r w:rsidRPr="00080145">
        <w:rPr>
          <w:color w:val="auto"/>
        </w:rPr>
        <w:t>This Data Sharing Agreement [DSA] documents</w:t>
      </w:r>
      <w:r w:rsidR="00A52375" w:rsidRPr="00080145">
        <w:rPr>
          <w:color w:val="auto"/>
        </w:rPr>
        <w:t xml:space="preserve"> how the part</w:t>
      </w:r>
      <w:r w:rsidRPr="00080145">
        <w:rPr>
          <w:color w:val="auto"/>
        </w:rPr>
        <w:t xml:space="preserve">ies to this </w:t>
      </w:r>
      <w:r w:rsidR="00A52375" w:rsidRPr="00080145">
        <w:rPr>
          <w:color w:val="auto"/>
        </w:rPr>
        <w:t>a</w:t>
      </w:r>
      <w:r w:rsidRPr="00080145">
        <w:rPr>
          <w:color w:val="auto"/>
        </w:rPr>
        <w:t>greement</w:t>
      </w:r>
      <w:r w:rsidR="00A52375" w:rsidRPr="00080145">
        <w:rPr>
          <w:color w:val="auto"/>
        </w:rPr>
        <w:t>, listed in Appendix A,</w:t>
      </w:r>
      <w:r w:rsidRPr="00080145">
        <w:rPr>
          <w:color w:val="auto"/>
        </w:rPr>
        <w:t xml:space="preserve"> will share personal data about children and families for safeguarding purposes. By signing this Agreement, the named agencies agree to accept the conditions set out in this document, according to their statutory and professional responsibilities, and agree to adhere to the procedures described.</w:t>
      </w:r>
    </w:p>
    <w:p w14:paraId="31D0FEA4" w14:textId="77777777" w:rsidR="00AB66F9" w:rsidRPr="00080145" w:rsidRDefault="00AB66F9" w:rsidP="00AB66F9">
      <w:pPr>
        <w:rPr>
          <w:color w:val="auto"/>
        </w:rPr>
      </w:pPr>
      <w:r w:rsidRPr="00080145">
        <w:rPr>
          <w:color w:val="auto"/>
        </w:rPr>
        <w:t>This Agreement has been developed to:</w:t>
      </w:r>
    </w:p>
    <w:p w14:paraId="39C5A266" w14:textId="77777777" w:rsidR="00AB66F9" w:rsidRPr="00080145" w:rsidRDefault="00AB66F9" w:rsidP="003E63E7">
      <w:pPr>
        <w:pStyle w:val="ListParagraph"/>
        <w:numPr>
          <w:ilvl w:val="0"/>
          <w:numId w:val="7"/>
        </w:numPr>
        <w:rPr>
          <w:sz w:val="22"/>
        </w:rPr>
      </w:pPr>
      <w:r w:rsidRPr="00080145">
        <w:rPr>
          <w:sz w:val="22"/>
        </w:rPr>
        <w:t>Define the specific purposes for which the signatory agencies have agreed to share information.</w:t>
      </w:r>
    </w:p>
    <w:p w14:paraId="6DF402EC" w14:textId="77777777" w:rsidR="00AB66F9" w:rsidRPr="00080145" w:rsidRDefault="00AB66F9" w:rsidP="003E63E7">
      <w:pPr>
        <w:pStyle w:val="ListParagraph"/>
        <w:numPr>
          <w:ilvl w:val="0"/>
          <w:numId w:val="7"/>
        </w:numPr>
        <w:rPr>
          <w:sz w:val="22"/>
        </w:rPr>
      </w:pPr>
      <w:r w:rsidRPr="00080145">
        <w:rPr>
          <w:sz w:val="22"/>
        </w:rPr>
        <w:t>Outline the Personal, Special Category and Criminal Data to be shared.</w:t>
      </w:r>
    </w:p>
    <w:p w14:paraId="4521146A" w14:textId="6D45FAFE" w:rsidR="00AB66F9" w:rsidRPr="00080145" w:rsidRDefault="00AB66F9" w:rsidP="003E63E7">
      <w:pPr>
        <w:pStyle w:val="ListParagraph"/>
        <w:numPr>
          <w:ilvl w:val="0"/>
          <w:numId w:val="7"/>
        </w:numPr>
        <w:rPr>
          <w:sz w:val="22"/>
        </w:rPr>
      </w:pPr>
      <w:r w:rsidRPr="00080145">
        <w:rPr>
          <w:sz w:val="22"/>
        </w:rPr>
        <w:t xml:space="preserve">Set out the lawful basis condition under </w:t>
      </w:r>
      <w:r w:rsidR="005023B1" w:rsidRPr="00080145">
        <w:rPr>
          <w:sz w:val="22"/>
        </w:rPr>
        <w:t>UK</w:t>
      </w:r>
      <w:r w:rsidR="001B451C" w:rsidRPr="00080145">
        <w:rPr>
          <w:sz w:val="22"/>
        </w:rPr>
        <w:t xml:space="preserve"> </w:t>
      </w:r>
      <w:r w:rsidRPr="00080145">
        <w:rPr>
          <w:sz w:val="22"/>
        </w:rPr>
        <w:t>GDPR and Data Protection Act 2018 through which the information is shared, including reference to the Human Rights Act 1998 and the Common Law Duty of Confidentiality.</w:t>
      </w:r>
    </w:p>
    <w:p w14:paraId="211909F1" w14:textId="77777777" w:rsidR="00AB66F9" w:rsidRPr="00080145" w:rsidRDefault="00AB66F9" w:rsidP="003E63E7">
      <w:pPr>
        <w:pStyle w:val="ListParagraph"/>
        <w:numPr>
          <w:ilvl w:val="0"/>
          <w:numId w:val="7"/>
        </w:numPr>
        <w:rPr>
          <w:sz w:val="22"/>
        </w:rPr>
      </w:pPr>
      <w:r w:rsidRPr="00080145">
        <w:rPr>
          <w:sz w:val="22"/>
        </w:rPr>
        <w:t>Stipulate the roles and procedure that will support the processing/sharing of information between agencies.</w:t>
      </w:r>
    </w:p>
    <w:p w14:paraId="589F1773" w14:textId="77777777" w:rsidR="00AB66F9" w:rsidRPr="00080145" w:rsidRDefault="00AB66F9" w:rsidP="003E63E7">
      <w:pPr>
        <w:pStyle w:val="ListParagraph"/>
        <w:numPr>
          <w:ilvl w:val="0"/>
          <w:numId w:val="7"/>
        </w:numPr>
        <w:rPr>
          <w:sz w:val="22"/>
        </w:rPr>
      </w:pPr>
      <w:r w:rsidRPr="00080145">
        <w:rPr>
          <w:sz w:val="22"/>
        </w:rPr>
        <w:t>Describe how the rights of the data subject(s) will be protected as stipulated under the data protection legislation.</w:t>
      </w:r>
    </w:p>
    <w:p w14:paraId="6A5379C1" w14:textId="77777777" w:rsidR="00AB66F9" w:rsidRPr="00080145" w:rsidRDefault="00AB66F9" w:rsidP="003E63E7">
      <w:pPr>
        <w:pStyle w:val="ListParagraph"/>
        <w:numPr>
          <w:ilvl w:val="0"/>
          <w:numId w:val="7"/>
        </w:numPr>
        <w:rPr>
          <w:sz w:val="22"/>
        </w:rPr>
      </w:pPr>
      <w:r w:rsidRPr="00080145">
        <w:rPr>
          <w:sz w:val="22"/>
        </w:rPr>
        <w:t>Describe the security procedures necessary to ensure that compliance with responsibilities under data protection legislation and agency-specific security requirements.</w:t>
      </w:r>
    </w:p>
    <w:p w14:paraId="1F72DF4B" w14:textId="1E37E3E1" w:rsidR="00AB66F9" w:rsidRPr="00080145" w:rsidRDefault="00AB66F9" w:rsidP="003E63E7">
      <w:pPr>
        <w:pStyle w:val="ListParagraph"/>
        <w:numPr>
          <w:ilvl w:val="0"/>
          <w:numId w:val="7"/>
        </w:numPr>
        <w:rPr>
          <w:sz w:val="22"/>
        </w:rPr>
      </w:pPr>
      <w:r w:rsidRPr="00080145">
        <w:rPr>
          <w:sz w:val="22"/>
        </w:rPr>
        <w:t xml:space="preserve">Describe how this arrangement will be monitored and reviewed.  </w:t>
      </w:r>
    </w:p>
    <w:p w14:paraId="1142DADB" w14:textId="36956560" w:rsidR="00CB786D" w:rsidRPr="00080145" w:rsidRDefault="00CB786D" w:rsidP="003E63E7">
      <w:pPr>
        <w:pStyle w:val="ListParagraph"/>
        <w:numPr>
          <w:ilvl w:val="0"/>
          <w:numId w:val="7"/>
        </w:numPr>
        <w:rPr>
          <w:sz w:val="22"/>
        </w:rPr>
      </w:pPr>
      <w:r w:rsidRPr="00080145">
        <w:rPr>
          <w:sz w:val="22"/>
        </w:rPr>
        <w:t>To illustrate the flow of information from referral through processing and outcome.</w:t>
      </w:r>
    </w:p>
    <w:p w14:paraId="25DC9280" w14:textId="412B9915" w:rsidR="00D47F50" w:rsidRPr="00080145" w:rsidRDefault="006D4257" w:rsidP="00AB66F9">
      <w:pPr>
        <w:rPr>
          <w:color w:val="auto"/>
        </w:rPr>
      </w:pPr>
      <w:r w:rsidRPr="00080145">
        <w:rPr>
          <w:color w:val="auto"/>
        </w:rPr>
        <w:t xml:space="preserve">Parties to this agreement cannot amend or add appendices unless agreed as part of a formal review. It is expected that each party will have </w:t>
      </w:r>
      <w:bookmarkStart w:id="4" w:name="_Hlk55379694"/>
      <w:r w:rsidRPr="00080145">
        <w:rPr>
          <w:color w:val="auto"/>
        </w:rPr>
        <w:t>procedures, processes and policies sitting underneath this agreement, for their respective organisations. These will, for example, describe the specific processes for secure transfer of data.</w:t>
      </w:r>
      <w:bookmarkEnd w:id="4"/>
    </w:p>
    <w:p w14:paraId="409C92D2" w14:textId="77777777" w:rsidR="006D4257" w:rsidRPr="00080145" w:rsidRDefault="006D4257" w:rsidP="00AB66F9">
      <w:pPr>
        <w:rPr>
          <w:color w:val="auto"/>
        </w:rPr>
      </w:pPr>
    </w:p>
    <w:p w14:paraId="3113E07A" w14:textId="078C616F" w:rsidR="00D47F50" w:rsidRPr="00080145" w:rsidRDefault="00D47F50" w:rsidP="00D47F50">
      <w:pPr>
        <w:pStyle w:val="Heading2"/>
        <w:rPr>
          <w:lang w:val="en-GB"/>
        </w:rPr>
      </w:pPr>
      <w:bookmarkStart w:id="5" w:name="_Toc59206174"/>
      <w:r w:rsidRPr="00080145">
        <w:rPr>
          <w:lang w:val="en-GB"/>
        </w:rPr>
        <w:t>Ownership of this agreement</w:t>
      </w:r>
      <w:bookmarkEnd w:id="5"/>
    </w:p>
    <w:p w14:paraId="028175D5" w14:textId="7D55DE42" w:rsidR="00AB66F9" w:rsidRPr="00080145" w:rsidRDefault="00BD3DDD" w:rsidP="00AB66F9">
      <w:pPr>
        <w:rPr>
          <w:color w:val="auto"/>
        </w:rPr>
      </w:pPr>
      <w:bookmarkStart w:id="6" w:name="_Hlk55376598"/>
      <w:r w:rsidRPr="00080145">
        <w:rPr>
          <w:color w:val="auto"/>
        </w:rPr>
        <w:t xml:space="preserve">This agreement was drafted by a working group of representatives of the police, health, local authorities and London Councils. </w:t>
      </w:r>
      <w:r w:rsidR="006D4257" w:rsidRPr="00080145">
        <w:rPr>
          <w:color w:val="auto"/>
        </w:rPr>
        <w:t xml:space="preserve">These professionals were specialists in safeguarding, social work, police procedures, information governance and law. </w:t>
      </w:r>
      <w:r w:rsidRPr="00080145">
        <w:rPr>
          <w:color w:val="auto"/>
        </w:rPr>
        <w:t>The local authority representatives worked under the banner of the Information Governance for London Group (IGfL), to draft one agreement that would work for all boroughs</w:t>
      </w:r>
      <w:r w:rsidR="0083463C" w:rsidRPr="00080145">
        <w:rPr>
          <w:color w:val="auto"/>
        </w:rPr>
        <w:t>, CCGs and police BCUs across London</w:t>
      </w:r>
      <w:r w:rsidRPr="00080145">
        <w:rPr>
          <w:color w:val="auto"/>
        </w:rPr>
        <w:t>. The aim is to reduce the number of versions of sharing agreements that historically differed between boroughs</w:t>
      </w:r>
      <w:r w:rsidR="00D47F50" w:rsidRPr="00080145">
        <w:rPr>
          <w:color w:val="auto"/>
        </w:rPr>
        <w:t xml:space="preserve">, </w:t>
      </w:r>
      <w:r w:rsidRPr="00080145">
        <w:rPr>
          <w:color w:val="auto"/>
        </w:rPr>
        <w:t>partly to reduce the burden on pan-London organisations, that must have agreements with multiple boroughs.</w:t>
      </w:r>
    </w:p>
    <w:p w14:paraId="398167BA" w14:textId="50857528" w:rsidR="00BD3DDD" w:rsidRPr="00080145" w:rsidRDefault="00BD3DDD" w:rsidP="00AB66F9">
      <w:pPr>
        <w:rPr>
          <w:color w:val="auto"/>
        </w:rPr>
      </w:pPr>
    </w:p>
    <w:p w14:paraId="2AEC6F40" w14:textId="3DA6EEBB" w:rsidR="00CF1036" w:rsidRPr="00080145" w:rsidRDefault="00CF1036" w:rsidP="00AB66F9">
      <w:pPr>
        <w:rPr>
          <w:color w:val="auto"/>
        </w:rPr>
      </w:pPr>
      <w:r w:rsidRPr="00080145">
        <w:rPr>
          <w:color w:val="auto"/>
        </w:rPr>
        <w:lastRenderedPageBreak/>
        <w:t xml:space="preserve">IGfL, a group </w:t>
      </w:r>
      <w:r w:rsidR="0083463C" w:rsidRPr="00080145">
        <w:rPr>
          <w:color w:val="auto"/>
        </w:rPr>
        <w:t>of information and security prof</w:t>
      </w:r>
      <w:r w:rsidRPr="00080145">
        <w:rPr>
          <w:color w:val="auto"/>
        </w:rPr>
        <w:t>essionals at London boroughs, assisted with co-ordination of this agreement, but the responsibilities within it, and compliance with data protection legislation, remain with the listed data controllers.</w:t>
      </w:r>
    </w:p>
    <w:bookmarkEnd w:id="6"/>
    <w:p w14:paraId="7D21B07B" w14:textId="77777777" w:rsidR="00CF1036" w:rsidRPr="00080145" w:rsidRDefault="00CF1036" w:rsidP="00AB66F9">
      <w:pPr>
        <w:rPr>
          <w:color w:val="auto"/>
        </w:rPr>
      </w:pPr>
    </w:p>
    <w:p w14:paraId="18BA94F7" w14:textId="77777777" w:rsidR="00D916F1" w:rsidRPr="00080145" w:rsidRDefault="00D916F1" w:rsidP="00D916F1">
      <w:pPr>
        <w:pStyle w:val="Heading2"/>
        <w:rPr>
          <w:lang w:val="en-GB"/>
        </w:rPr>
      </w:pPr>
      <w:bookmarkStart w:id="7" w:name="_Toc18415827"/>
      <w:bookmarkStart w:id="8" w:name="_Toc59206175"/>
      <w:r w:rsidRPr="00080145">
        <w:rPr>
          <w:lang w:val="en-GB"/>
        </w:rPr>
        <w:t>Responsibilities of parties involved</w:t>
      </w:r>
      <w:bookmarkEnd w:id="7"/>
      <w:bookmarkEnd w:id="8"/>
    </w:p>
    <w:p w14:paraId="76496CCE" w14:textId="7640E10C" w:rsidR="00D916F1" w:rsidRPr="00080145" w:rsidRDefault="00D916F1" w:rsidP="00D47F50">
      <w:pPr>
        <w:pStyle w:val="Body"/>
        <w:rPr>
          <w:lang w:val="en-GB"/>
        </w:rPr>
      </w:pPr>
      <w:r w:rsidRPr="00080145">
        <w:rPr>
          <w:lang w:val="en-GB"/>
        </w:rPr>
        <w:t xml:space="preserve">The parties are registered Data Controllers under the Data Protection Act. </w:t>
      </w:r>
      <w:r w:rsidR="006D4257" w:rsidRPr="00080145">
        <w:rPr>
          <w:lang w:val="en-GB"/>
        </w:rPr>
        <w:t>Signatories are identified as those who have signed this agreement on the platform on which this agreement is hosted (expected to be the Information Sharing Gateway).</w:t>
      </w:r>
      <w:r w:rsidR="002D3B54" w:rsidRPr="00080145">
        <w:rPr>
          <w:lang w:val="en-GB"/>
        </w:rPr>
        <w:t xml:space="preserve"> A list of expected types of signatories is at Appendix A.</w:t>
      </w:r>
    </w:p>
    <w:p w14:paraId="385F647F" w14:textId="1854668C" w:rsidR="00322972" w:rsidRPr="00080145" w:rsidRDefault="00D916F1" w:rsidP="00322972">
      <w:pPr>
        <w:pStyle w:val="Body"/>
        <w:rPr>
          <w:bCs/>
          <w:color w:val="auto"/>
          <w:lang w:val="en-GB"/>
        </w:rPr>
      </w:pPr>
      <w:r w:rsidRPr="00080145">
        <w:rPr>
          <w:lang w:val="en-GB"/>
        </w:rPr>
        <w:t xml:space="preserve">All parties </w:t>
      </w:r>
      <w:r w:rsidR="00322972" w:rsidRPr="00080145">
        <w:rPr>
          <w:lang w:val="en-GB"/>
        </w:rPr>
        <w:t xml:space="preserve">confirm that </w:t>
      </w:r>
      <w:r w:rsidR="00322972" w:rsidRPr="00080145">
        <w:rPr>
          <w:bCs/>
          <w:color w:val="auto"/>
          <w:lang w:val="en-GB"/>
        </w:rPr>
        <w:t>they comply with data protection legislation by:</w:t>
      </w:r>
    </w:p>
    <w:p w14:paraId="3E9F1DB3" w14:textId="30F70FD4" w:rsidR="00322972" w:rsidRPr="00080145" w:rsidRDefault="00322972" w:rsidP="00322972">
      <w:pPr>
        <w:pStyle w:val="Bodybullets"/>
        <w:tabs>
          <w:tab w:val="clear" w:pos="454"/>
          <w:tab w:val="num" w:pos="170"/>
        </w:tabs>
        <w:ind w:left="170"/>
        <w:rPr>
          <w:color w:val="auto"/>
          <w:lang w:val="en-GB"/>
        </w:rPr>
      </w:pPr>
      <w:r w:rsidRPr="00080145">
        <w:rPr>
          <w:color w:val="auto"/>
          <w:lang w:val="en-GB"/>
        </w:rPr>
        <w:t>having a lawful basis for processing and sharing personal data</w:t>
      </w:r>
      <w:r w:rsidR="005A1F81" w:rsidRPr="00080145">
        <w:rPr>
          <w:color w:val="auto"/>
          <w:lang w:val="en-GB"/>
        </w:rPr>
        <w:t>.</w:t>
      </w:r>
    </w:p>
    <w:p w14:paraId="22177B97" w14:textId="093A6242" w:rsidR="00322972" w:rsidRPr="00080145" w:rsidRDefault="00322972" w:rsidP="00322972">
      <w:pPr>
        <w:pStyle w:val="Bodybullets"/>
        <w:tabs>
          <w:tab w:val="clear" w:pos="454"/>
          <w:tab w:val="num" w:pos="170"/>
        </w:tabs>
        <w:ind w:left="170"/>
        <w:rPr>
          <w:color w:val="auto"/>
          <w:lang w:val="en-GB"/>
        </w:rPr>
      </w:pPr>
      <w:r w:rsidRPr="00080145">
        <w:rPr>
          <w:color w:val="auto"/>
          <w:lang w:val="en-GB"/>
        </w:rPr>
        <w:t>ensuring data quality</w:t>
      </w:r>
      <w:r w:rsidR="005A1F81" w:rsidRPr="00080145">
        <w:rPr>
          <w:color w:val="auto"/>
          <w:lang w:val="en-GB"/>
        </w:rPr>
        <w:t>.</w:t>
      </w:r>
    </w:p>
    <w:p w14:paraId="79ED17DC" w14:textId="24FCA963" w:rsidR="00322972" w:rsidRPr="00080145" w:rsidRDefault="00322972" w:rsidP="00322972">
      <w:pPr>
        <w:pStyle w:val="Bodybullets"/>
        <w:tabs>
          <w:tab w:val="clear" w:pos="454"/>
          <w:tab w:val="num" w:pos="170"/>
        </w:tabs>
        <w:ind w:left="170"/>
        <w:rPr>
          <w:color w:val="auto"/>
          <w:lang w:val="en-GB"/>
        </w:rPr>
      </w:pPr>
      <w:r w:rsidRPr="00080145">
        <w:rPr>
          <w:color w:val="auto"/>
          <w:lang w:val="en-GB"/>
        </w:rPr>
        <w:t>storing and sharing information securely</w:t>
      </w:r>
      <w:r w:rsidR="00E268DF" w:rsidRPr="00080145">
        <w:rPr>
          <w:color w:val="auto"/>
          <w:lang w:val="en-GB"/>
        </w:rPr>
        <w:t>, with access management</w:t>
      </w:r>
      <w:r w:rsidR="005A1F81" w:rsidRPr="00080145">
        <w:rPr>
          <w:color w:val="auto"/>
          <w:lang w:val="en-GB"/>
        </w:rPr>
        <w:t xml:space="preserve"> controls.</w:t>
      </w:r>
    </w:p>
    <w:p w14:paraId="25258BD2" w14:textId="62705117" w:rsidR="00322972" w:rsidRPr="00080145" w:rsidRDefault="00322972" w:rsidP="00322972">
      <w:pPr>
        <w:pStyle w:val="Bodybullets"/>
        <w:tabs>
          <w:tab w:val="clear" w:pos="454"/>
          <w:tab w:val="num" w:pos="170"/>
        </w:tabs>
        <w:ind w:left="170"/>
        <w:rPr>
          <w:color w:val="auto"/>
          <w:lang w:val="en-GB"/>
        </w:rPr>
      </w:pPr>
      <w:r w:rsidRPr="00080145">
        <w:rPr>
          <w:color w:val="auto"/>
          <w:lang w:val="en-GB"/>
        </w:rPr>
        <w:t xml:space="preserve">having policies and procedures for compliance with data protection legislation including for </w:t>
      </w:r>
      <w:r w:rsidR="00E268DF" w:rsidRPr="00080145">
        <w:rPr>
          <w:color w:val="auto"/>
          <w:lang w:val="en-GB"/>
        </w:rPr>
        <w:t xml:space="preserve">managing data subject rights &amp; complaints, </w:t>
      </w:r>
      <w:r w:rsidRPr="00080145">
        <w:rPr>
          <w:color w:val="auto"/>
          <w:lang w:val="en-GB"/>
        </w:rPr>
        <w:t>identifying and managing data breaches/incidents and retention &amp; disposal</w:t>
      </w:r>
      <w:r w:rsidR="005A1F81" w:rsidRPr="00080145">
        <w:rPr>
          <w:color w:val="auto"/>
          <w:lang w:val="en-GB"/>
        </w:rPr>
        <w:t>.</w:t>
      </w:r>
    </w:p>
    <w:p w14:paraId="06E67EA1" w14:textId="7DBC961D" w:rsidR="00D916F1" w:rsidRPr="00080145" w:rsidRDefault="00322972" w:rsidP="00D916F1">
      <w:pPr>
        <w:pStyle w:val="Bodybullets"/>
        <w:tabs>
          <w:tab w:val="clear" w:pos="454"/>
          <w:tab w:val="num" w:pos="170"/>
        </w:tabs>
        <w:ind w:left="170"/>
        <w:rPr>
          <w:lang w:val="en-GB"/>
        </w:rPr>
      </w:pPr>
      <w:r w:rsidRPr="00080145">
        <w:rPr>
          <w:color w:val="auto"/>
          <w:lang w:val="en-GB"/>
        </w:rPr>
        <w:t xml:space="preserve">ensuring that </w:t>
      </w:r>
      <w:r w:rsidR="00D916F1" w:rsidRPr="00080145">
        <w:rPr>
          <w:lang w:val="en-GB"/>
        </w:rPr>
        <w:t xml:space="preserve">mandatory training is undertaken regularly by their </w:t>
      </w:r>
      <w:r w:rsidR="00D56817" w:rsidRPr="00080145">
        <w:rPr>
          <w:lang w:val="en-GB"/>
        </w:rPr>
        <w:t>employee</w:t>
      </w:r>
      <w:r w:rsidR="00D916F1" w:rsidRPr="00080145">
        <w:rPr>
          <w:lang w:val="en-GB"/>
        </w:rPr>
        <w:t xml:space="preserve">s to ensure they are clear and up to date on their responsibilities. Every individual must uphold the principles of this agreement and overarching confidentiality, and seek advice from the relevant Data Protection Officer when necessary. </w:t>
      </w:r>
    </w:p>
    <w:p w14:paraId="44D8B56D" w14:textId="2441BD39" w:rsidR="00E268DF" w:rsidRPr="00080145" w:rsidRDefault="005A1F81" w:rsidP="00D916F1">
      <w:pPr>
        <w:pStyle w:val="Bodybullets"/>
        <w:tabs>
          <w:tab w:val="clear" w:pos="454"/>
          <w:tab w:val="num" w:pos="170"/>
        </w:tabs>
        <w:ind w:left="170"/>
        <w:rPr>
          <w:lang w:val="en-GB"/>
        </w:rPr>
      </w:pPr>
      <w:r w:rsidRPr="00080145">
        <w:rPr>
          <w:lang w:val="en-GB"/>
        </w:rPr>
        <w:t>undertaking appropriate data protection due diligence checks with any contractors/data processors they employ, and ensuring that a written agreement is in place with each data processor, and that all data processors will be bound by this agreement.</w:t>
      </w:r>
    </w:p>
    <w:p w14:paraId="73365318" w14:textId="1F8CFB69" w:rsidR="005A1F81" w:rsidRPr="00080145" w:rsidRDefault="005A1F81" w:rsidP="00D916F1">
      <w:pPr>
        <w:pStyle w:val="Bodybullets"/>
        <w:tabs>
          <w:tab w:val="clear" w:pos="454"/>
          <w:tab w:val="num" w:pos="170"/>
        </w:tabs>
        <w:ind w:left="170"/>
        <w:rPr>
          <w:lang w:val="en-GB"/>
        </w:rPr>
      </w:pPr>
      <w:r w:rsidRPr="00080145">
        <w:rPr>
          <w:color w:val="auto"/>
          <w:lang w:val="en-GB"/>
        </w:rPr>
        <w:t>having written processes for the processing of data to ensure employees use</w:t>
      </w:r>
      <w:r w:rsidRPr="00080145">
        <w:rPr>
          <w:lang w:val="en-GB"/>
        </w:rPr>
        <w:t xml:space="preserve"> and share personal data in line with data protection law, the data protection principles, and this agreement.</w:t>
      </w:r>
    </w:p>
    <w:p w14:paraId="32069445" w14:textId="64C09F53" w:rsidR="00322972" w:rsidRPr="00080145" w:rsidRDefault="00322972" w:rsidP="00322972">
      <w:pPr>
        <w:pStyle w:val="Body"/>
        <w:rPr>
          <w:bCs/>
          <w:color w:val="auto"/>
          <w:lang w:val="en-GB"/>
        </w:rPr>
      </w:pPr>
      <w:r w:rsidRPr="00080145">
        <w:rPr>
          <w:bCs/>
          <w:color w:val="auto"/>
          <w:lang w:val="en-GB"/>
        </w:rPr>
        <w:t>Organisations and their staff must consult the organisation’s Data Protection Officer/Information Governance Manager and/or Caldicott Guardian if they are unsure at any point in the processing and sharing of personal data.</w:t>
      </w:r>
    </w:p>
    <w:p w14:paraId="7C1FE8EA" w14:textId="0D8186A0" w:rsidR="00322972" w:rsidRPr="00080145" w:rsidRDefault="00322972" w:rsidP="00D916F1">
      <w:pPr>
        <w:pStyle w:val="NoSpacing"/>
      </w:pPr>
    </w:p>
    <w:p w14:paraId="0173D414" w14:textId="230CA61D" w:rsidR="00E268DF" w:rsidRPr="00080145" w:rsidRDefault="00D56817" w:rsidP="005A1F81">
      <w:pPr>
        <w:pStyle w:val="Heading2"/>
        <w:rPr>
          <w:lang w:val="en-GB"/>
        </w:rPr>
      </w:pPr>
      <w:bookmarkStart w:id="9" w:name="_Toc53729679"/>
      <w:bookmarkStart w:id="10" w:name="_Toc53753537"/>
      <w:bookmarkStart w:id="11" w:name="_Toc59206176"/>
      <w:r w:rsidRPr="00080145">
        <w:rPr>
          <w:lang w:val="en-GB"/>
        </w:rPr>
        <w:t>Confidentiality and v</w:t>
      </w:r>
      <w:r w:rsidR="00E268DF" w:rsidRPr="00080145">
        <w:rPr>
          <w:lang w:val="en-GB"/>
        </w:rPr>
        <w:t>etting</w:t>
      </w:r>
      <w:bookmarkEnd w:id="9"/>
      <w:bookmarkEnd w:id="10"/>
      <w:bookmarkEnd w:id="11"/>
    </w:p>
    <w:p w14:paraId="539BAF06" w14:textId="7A98009F" w:rsidR="00E268DF" w:rsidRPr="00080145" w:rsidRDefault="00E268DF" w:rsidP="00E268DF">
      <w:pPr>
        <w:pStyle w:val="Body"/>
        <w:rPr>
          <w:iCs/>
          <w:lang w:val="en-GB"/>
        </w:rPr>
      </w:pPr>
      <w:r w:rsidRPr="00080145">
        <w:rPr>
          <w:iCs/>
          <w:lang w:val="en-GB"/>
        </w:rPr>
        <w:t>Each Partner must ensure that there are appropriate written contracts or agreements with employees, agency staff, volunteers etc. These must include requirements to ensure compliance with policies which include confidentiality.</w:t>
      </w:r>
    </w:p>
    <w:p w14:paraId="206EBEC8" w14:textId="4E256E38" w:rsidR="00E268DF" w:rsidRPr="00080145" w:rsidRDefault="00E268DF" w:rsidP="00E268DF">
      <w:pPr>
        <w:pStyle w:val="Body"/>
        <w:rPr>
          <w:lang w:val="en-GB"/>
        </w:rPr>
      </w:pPr>
      <w:r w:rsidRPr="00080145">
        <w:rPr>
          <w:iCs/>
          <w:lang w:val="en-GB"/>
        </w:rPr>
        <w:t xml:space="preserve">Each Partner must ensure that suitable vetting has taken place. This may be through </w:t>
      </w:r>
      <w:r w:rsidR="005A1F81" w:rsidRPr="00080145">
        <w:rPr>
          <w:iCs/>
          <w:lang w:val="en-GB"/>
        </w:rPr>
        <w:t xml:space="preserve">standard employee checks (BPSS or equivalent), </w:t>
      </w:r>
      <w:r w:rsidRPr="00080145">
        <w:rPr>
          <w:iCs/>
          <w:lang w:val="en-GB"/>
        </w:rPr>
        <w:t xml:space="preserve">DBS, Security Vetting or </w:t>
      </w:r>
      <w:r w:rsidRPr="00080145">
        <w:rPr>
          <w:lang w:val="en-GB"/>
        </w:rPr>
        <w:t>Counter Terrorist Check [CTC]</w:t>
      </w:r>
      <w:r w:rsidR="005A1F81" w:rsidRPr="00080145">
        <w:rPr>
          <w:lang w:val="en-GB"/>
        </w:rPr>
        <w:t>.</w:t>
      </w:r>
    </w:p>
    <w:p w14:paraId="7892B820" w14:textId="7A3450EA" w:rsidR="00D916F1" w:rsidRPr="00080145" w:rsidRDefault="00D916F1" w:rsidP="00D916F1"/>
    <w:p w14:paraId="2FAEA6E7" w14:textId="3448777D" w:rsidR="00D916F1" w:rsidRPr="00080145" w:rsidRDefault="00D916F1" w:rsidP="00D916F1">
      <w:pPr>
        <w:pStyle w:val="Heading2"/>
        <w:rPr>
          <w:lang w:val="en-GB"/>
        </w:rPr>
      </w:pPr>
      <w:bookmarkStart w:id="12" w:name="_Toc18415828"/>
      <w:bookmarkStart w:id="13" w:name="_Toc59206177"/>
      <w:r w:rsidRPr="00080145">
        <w:rPr>
          <w:lang w:val="en-GB"/>
        </w:rPr>
        <w:t>Assessment</w:t>
      </w:r>
      <w:r w:rsidR="00D56817" w:rsidRPr="00080145">
        <w:rPr>
          <w:lang w:val="en-GB"/>
        </w:rPr>
        <w:t xml:space="preserve"> and r</w:t>
      </w:r>
      <w:r w:rsidRPr="00080145">
        <w:rPr>
          <w:lang w:val="en-GB"/>
        </w:rPr>
        <w:t>eview</w:t>
      </w:r>
      <w:bookmarkEnd w:id="12"/>
      <w:bookmarkEnd w:id="13"/>
    </w:p>
    <w:p w14:paraId="5A45A862" w14:textId="57409A1F" w:rsidR="00D916F1" w:rsidRPr="00080145" w:rsidRDefault="00D916F1" w:rsidP="00D56817">
      <w:pPr>
        <w:pStyle w:val="Body"/>
        <w:rPr>
          <w:lang w:val="en-GB"/>
        </w:rPr>
      </w:pPr>
      <w:r w:rsidRPr="00080145">
        <w:rPr>
          <w:lang w:val="en-GB"/>
        </w:rPr>
        <w:t xml:space="preserve">A review of this information sharing agreement will take place </w:t>
      </w:r>
      <w:r w:rsidR="00CF1036" w:rsidRPr="00080145">
        <w:rPr>
          <w:lang w:val="en-GB"/>
        </w:rPr>
        <w:t>every two years</w:t>
      </w:r>
      <w:r w:rsidRPr="00080145">
        <w:rPr>
          <w:lang w:val="en-GB"/>
        </w:rPr>
        <w:t>, unless otherwise agreed by the organisations’ Data Protection Officers.</w:t>
      </w:r>
      <w:r w:rsidR="00CF1036" w:rsidRPr="00080145">
        <w:rPr>
          <w:lang w:val="en-GB"/>
        </w:rPr>
        <w:t xml:space="preserve"> </w:t>
      </w:r>
      <w:r w:rsidRPr="00080145">
        <w:rPr>
          <w:lang w:val="en-GB"/>
        </w:rPr>
        <w:t xml:space="preserve">The aim of the review will be to ensure the purposes are still relevant, the scope has not slipped, the benefits to the data subjects and organisations are being realised, and the procedures followed for information security are effective. </w:t>
      </w:r>
    </w:p>
    <w:p w14:paraId="3D59A7D8" w14:textId="77777777" w:rsidR="00D916F1" w:rsidRPr="00080145" w:rsidRDefault="00D916F1" w:rsidP="00D56817">
      <w:pPr>
        <w:pStyle w:val="Body"/>
        <w:rPr>
          <w:lang w:val="en-GB"/>
        </w:rPr>
      </w:pPr>
    </w:p>
    <w:p w14:paraId="3388E70E" w14:textId="3733B3DE" w:rsidR="00D916F1" w:rsidRPr="00080145" w:rsidRDefault="00D916F1" w:rsidP="00D56817">
      <w:pPr>
        <w:pStyle w:val="Body"/>
        <w:rPr>
          <w:lang w:val="en-GB"/>
        </w:rPr>
      </w:pPr>
      <w:r w:rsidRPr="00080145">
        <w:rPr>
          <w:lang w:val="en-GB"/>
        </w:rPr>
        <w:lastRenderedPageBreak/>
        <w:t>Changes in legislation and developments in the areas of public sector data sharing will be co</w:t>
      </w:r>
      <w:r w:rsidR="00CF1036" w:rsidRPr="00080145">
        <w:rPr>
          <w:lang w:val="en-GB"/>
        </w:rPr>
        <w:t>nsidered as and when they arise, as will any changes to the signatory parties.</w:t>
      </w:r>
    </w:p>
    <w:p w14:paraId="6A677661" w14:textId="52FA2AD6" w:rsidR="0083463C" w:rsidRPr="00080145" w:rsidRDefault="0083463C" w:rsidP="00D56817">
      <w:pPr>
        <w:pStyle w:val="Body"/>
        <w:rPr>
          <w:lang w:val="en-GB"/>
        </w:rPr>
      </w:pPr>
      <w:r w:rsidRPr="00080145">
        <w:rPr>
          <w:lang w:val="en-GB"/>
        </w:rPr>
        <w:t>The working group who drafted this agreement strongly recommend that a working group approach is used for any reviews</w:t>
      </w:r>
      <w:r w:rsidR="006D4257" w:rsidRPr="00080145">
        <w:rPr>
          <w:lang w:val="en-GB"/>
        </w:rPr>
        <w:t>, as this was a successful way to achieve pan-London and cross-specialism consensus to one sharing agreement</w:t>
      </w:r>
      <w:r w:rsidRPr="00080145">
        <w:rPr>
          <w:lang w:val="en-GB"/>
        </w:rPr>
        <w:t>.</w:t>
      </w:r>
    </w:p>
    <w:p w14:paraId="2614D8E8" w14:textId="77D6426A" w:rsidR="00D916F1" w:rsidRPr="00080145" w:rsidRDefault="00D916F1" w:rsidP="00D916F1"/>
    <w:p w14:paraId="08D20770" w14:textId="353B972A" w:rsidR="00D916F1" w:rsidRPr="00080145" w:rsidRDefault="00D916F1" w:rsidP="00D916F1">
      <w:pPr>
        <w:pStyle w:val="Heading2"/>
        <w:rPr>
          <w:lang w:val="en-GB"/>
        </w:rPr>
      </w:pPr>
      <w:bookmarkStart w:id="14" w:name="_Toc18415829"/>
      <w:bookmarkStart w:id="15" w:name="_Toc59206178"/>
      <w:r w:rsidRPr="00080145">
        <w:rPr>
          <w:lang w:val="en-GB"/>
        </w:rPr>
        <w:t>Termination</w:t>
      </w:r>
      <w:r w:rsidR="00D56817" w:rsidRPr="00080145">
        <w:rPr>
          <w:lang w:val="en-GB"/>
        </w:rPr>
        <w:t xml:space="preserve"> of a</w:t>
      </w:r>
      <w:r w:rsidRPr="00080145">
        <w:rPr>
          <w:lang w:val="en-GB"/>
        </w:rPr>
        <w:t>greement</w:t>
      </w:r>
      <w:bookmarkEnd w:id="14"/>
      <w:bookmarkEnd w:id="15"/>
    </w:p>
    <w:p w14:paraId="7C740E47" w14:textId="77777777" w:rsidR="00D916F1" w:rsidRPr="00080145" w:rsidRDefault="00D916F1" w:rsidP="00D56817">
      <w:pPr>
        <w:pStyle w:val="Body"/>
        <w:rPr>
          <w:lang w:val="en-GB"/>
        </w:rPr>
      </w:pPr>
      <w:r w:rsidRPr="00080145">
        <w:rPr>
          <w:lang w:val="en-GB"/>
        </w:rPr>
        <w:t xml:space="preserve">In the event of termination of this agreement each party may continue to hold information originating from other parties for which they are data controller. </w:t>
      </w:r>
    </w:p>
    <w:p w14:paraId="2D7BD26F" w14:textId="77777777" w:rsidR="00D916F1" w:rsidRPr="00080145" w:rsidRDefault="00D916F1" w:rsidP="00AB66F9">
      <w:pPr>
        <w:rPr>
          <w:color w:val="auto"/>
        </w:rPr>
      </w:pPr>
    </w:p>
    <w:p w14:paraId="40ECA2A6" w14:textId="77777777" w:rsidR="00D916F1" w:rsidRPr="00080145" w:rsidRDefault="00D916F1" w:rsidP="00D916F1">
      <w:pPr>
        <w:pStyle w:val="Heading2"/>
        <w:rPr>
          <w:lang w:val="en-GB"/>
        </w:rPr>
      </w:pPr>
      <w:bookmarkStart w:id="16" w:name="_Toc51582907"/>
      <w:bookmarkStart w:id="17" w:name="_Toc59206179"/>
      <w:r w:rsidRPr="00080145">
        <w:rPr>
          <w:lang w:val="en-GB"/>
        </w:rPr>
        <w:t>Outside of this agreement</w:t>
      </w:r>
      <w:bookmarkEnd w:id="16"/>
      <w:bookmarkEnd w:id="17"/>
    </w:p>
    <w:p w14:paraId="51288096" w14:textId="77777777" w:rsidR="00D916F1" w:rsidRPr="00080145" w:rsidRDefault="00D916F1" w:rsidP="00D916F1">
      <w:pPr>
        <w:rPr>
          <w:color w:val="auto"/>
        </w:rPr>
      </w:pPr>
      <w:r w:rsidRPr="00080145">
        <w:rPr>
          <w:color w:val="auto"/>
        </w:rPr>
        <w:t>There are multiple other information sharing arrangements that form part of the duties of the parties and involve similar data for often similar overall purposes, like safeguarding and preventing crime. A non-exclusive list is below.</w:t>
      </w:r>
    </w:p>
    <w:tbl>
      <w:tblPr>
        <w:tblStyle w:val="TableGrid"/>
        <w:tblW w:w="0" w:type="auto"/>
        <w:tblLook w:val="04A0" w:firstRow="1" w:lastRow="0" w:firstColumn="1" w:lastColumn="0" w:noHBand="0" w:noVBand="1"/>
      </w:tblPr>
      <w:tblGrid>
        <w:gridCol w:w="4266"/>
        <w:gridCol w:w="5922"/>
      </w:tblGrid>
      <w:tr w:rsidR="00693F30" w:rsidRPr="00080145" w14:paraId="0272D984" w14:textId="77777777" w:rsidTr="00461BA9">
        <w:trPr>
          <w:cantSplit/>
          <w:tblHeader/>
        </w:trPr>
        <w:tc>
          <w:tcPr>
            <w:tcW w:w="0" w:type="auto"/>
            <w:shd w:val="clear" w:color="auto" w:fill="008080"/>
          </w:tcPr>
          <w:p w14:paraId="30BE3BDC" w14:textId="77777777" w:rsidR="00693F30" w:rsidRPr="00080145" w:rsidRDefault="00693F30" w:rsidP="00461BA9">
            <w:pPr>
              <w:rPr>
                <w:rFonts w:ascii="Segoe UI" w:hAnsi="Segoe UI" w:cs="Segoe UI"/>
                <w:b/>
                <w:bCs/>
                <w:color w:val="auto"/>
                <w:sz w:val="20"/>
              </w:rPr>
            </w:pPr>
            <w:r w:rsidRPr="00080145">
              <w:rPr>
                <w:rFonts w:ascii="Segoe UI" w:hAnsi="Segoe UI" w:cs="Segoe UI"/>
                <w:b/>
                <w:bCs/>
                <w:color w:val="auto"/>
                <w:sz w:val="20"/>
              </w:rPr>
              <w:t>Area of work</w:t>
            </w:r>
          </w:p>
        </w:tc>
        <w:tc>
          <w:tcPr>
            <w:tcW w:w="0" w:type="auto"/>
            <w:shd w:val="clear" w:color="auto" w:fill="008080"/>
          </w:tcPr>
          <w:p w14:paraId="0D0B3813" w14:textId="77777777" w:rsidR="00693F30" w:rsidRPr="00080145" w:rsidRDefault="00693F30" w:rsidP="00461BA9">
            <w:pPr>
              <w:rPr>
                <w:rFonts w:ascii="Segoe UI" w:hAnsi="Segoe UI" w:cs="Segoe UI"/>
                <w:b/>
                <w:bCs/>
                <w:color w:val="auto"/>
                <w:sz w:val="20"/>
              </w:rPr>
            </w:pPr>
            <w:r w:rsidRPr="00080145">
              <w:rPr>
                <w:rFonts w:ascii="Segoe UI" w:hAnsi="Segoe UI" w:cs="Segoe UI"/>
                <w:b/>
                <w:bCs/>
                <w:color w:val="auto"/>
                <w:sz w:val="20"/>
              </w:rPr>
              <w:t>Description</w:t>
            </w:r>
          </w:p>
        </w:tc>
      </w:tr>
      <w:tr w:rsidR="00693F30" w:rsidRPr="00080145" w14:paraId="0E912317" w14:textId="77777777" w:rsidTr="00461BA9">
        <w:trPr>
          <w:cantSplit/>
        </w:trPr>
        <w:tc>
          <w:tcPr>
            <w:tcW w:w="0" w:type="auto"/>
          </w:tcPr>
          <w:p w14:paraId="0B0F61AA" w14:textId="77777777" w:rsidR="00693F30" w:rsidRPr="00080145" w:rsidRDefault="00693F30" w:rsidP="00461BA9">
            <w:pPr>
              <w:ind w:left="22"/>
              <w:rPr>
                <w:rFonts w:ascii="Segoe UI" w:hAnsi="Segoe UI" w:cs="Segoe UI"/>
                <w:b/>
                <w:color w:val="auto"/>
                <w:sz w:val="20"/>
              </w:rPr>
            </w:pPr>
            <w:r w:rsidRPr="00080145">
              <w:rPr>
                <w:rFonts w:ascii="Segoe UI" w:hAnsi="Segoe UI" w:cs="Segoe UI"/>
                <w:b/>
                <w:color w:val="auto"/>
                <w:sz w:val="20"/>
              </w:rPr>
              <w:t>CDOP - Child Death Overview Panel</w:t>
            </w:r>
          </w:p>
        </w:tc>
        <w:tc>
          <w:tcPr>
            <w:tcW w:w="0" w:type="auto"/>
          </w:tcPr>
          <w:p w14:paraId="68227FE3" w14:textId="3CC10F21" w:rsidR="00693F30" w:rsidRPr="00080145" w:rsidRDefault="00693F30" w:rsidP="00461BA9">
            <w:pPr>
              <w:rPr>
                <w:rFonts w:ascii="Segoe UI" w:hAnsi="Segoe UI" w:cs="Segoe UI"/>
                <w:color w:val="auto"/>
                <w:sz w:val="20"/>
              </w:rPr>
            </w:pPr>
            <w:r w:rsidRPr="00080145">
              <w:rPr>
                <w:rFonts w:ascii="Segoe UI" w:hAnsi="Segoe UI" w:cs="Segoe UI"/>
                <w:color w:val="auto"/>
                <w:sz w:val="20"/>
              </w:rPr>
              <w:t>The Child Death Overview panels are conducted under specific rules which involve the office of the Coroner.</w:t>
            </w:r>
          </w:p>
        </w:tc>
      </w:tr>
      <w:tr w:rsidR="00693F30" w:rsidRPr="00080145" w14:paraId="78FE8BD5" w14:textId="77777777" w:rsidTr="00461BA9">
        <w:trPr>
          <w:cantSplit/>
        </w:trPr>
        <w:tc>
          <w:tcPr>
            <w:tcW w:w="0" w:type="auto"/>
          </w:tcPr>
          <w:p w14:paraId="70FBE8AB" w14:textId="77777777" w:rsidR="00693F30" w:rsidRPr="00080145" w:rsidRDefault="00693F30" w:rsidP="00461BA9">
            <w:pPr>
              <w:rPr>
                <w:rFonts w:ascii="Segoe UI" w:hAnsi="Segoe UI" w:cs="Segoe UI"/>
                <w:color w:val="auto"/>
                <w:sz w:val="20"/>
              </w:rPr>
            </w:pPr>
            <w:r w:rsidRPr="00080145">
              <w:rPr>
                <w:rFonts w:ascii="Segoe UI" w:hAnsi="Segoe UI" w:cs="Segoe UI"/>
                <w:b/>
                <w:bCs/>
                <w:color w:val="auto"/>
                <w:sz w:val="20"/>
              </w:rPr>
              <w:t>Domestic Abuse Multi-Agency Risk Assessment Conference (MARAC) and Violence Against Women and Girls (VARG)</w:t>
            </w:r>
            <w:r w:rsidRPr="00080145">
              <w:rPr>
                <w:rFonts w:ascii="Segoe UI" w:hAnsi="Segoe UI" w:cs="Segoe UI"/>
                <w:color w:val="auto"/>
                <w:sz w:val="20"/>
              </w:rPr>
              <w:t xml:space="preserve"> </w:t>
            </w:r>
          </w:p>
        </w:tc>
        <w:tc>
          <w:tcPr>
            <w:tcW w:w="0" w:type="auto"/>
          </w:tcPr>
          <w:p w14:paraId="0B19D49F" w14:textId="77777777" w:rsidR="00693F30" w:rsidRPr="00080145" w:rsidRDefault="00693F30" w:rsidP="00461BA9">
            <w:pPr>
              <w:rPr>
                <w:rFonts w:ascii="Segoe UI" w:hAnsi="Segoe UI" w:cs="Segoe UI"/>
                <w:bCs/>
                <w:color w:val="auto"/>
                <w:sz w:val="20"/>
              </w:rPr>
            </w:pPr>
            <w:r w:rsidRPr="00080145">
              <w:rPr>
                <w:rFonts w:ascii="Segoe UI" w:hAnsi="Segoe UI" w:cs="Segoe UI"/>
                <w:bCs/>
                <w:color w:val="auto"/>
                <w:sz w:val="20"/>
              </w:rPr>
              <w:t>Domestic abuse and violence against women and girls have complex roots, and as such commonly involve police, social care, health, voluntary and faith organisations in case management.</w:t>
            </w:r>
          </w:p>
        </w:tc>
      </w:tr>
      <w:tr w:rsidR="00693F30" w:rsidRPr="00080145" w14:paraId="499CDD28" w14:textId="77777777" w:rsidTr="00461BA9">
        <w:trPr>
          <w:cantSplit/>
        </w:trPr>
        <w:tc>
          <w:tcPr>
            <w:tcW w:w="0" w:type="auto"/>
          </w:tcPr>
          <w:p w14:paraId="584773CC" w14:textId="77777777" w:rsidR="00693F30" w:rsidRPr="00080145" w:rsidRDefault="00693F30" w:rsidP="00461BA9">
            <w:pPr>
              <w:rPr>
                <w:rFonts w:ascii="Segoe UI" w:hAnsi="Segoe UI" w:cs="Segoe UI"/>
                <w:b/>
                <w:bCs/>
                <w:color w:val="auto"/>
                <w:sz w:val="20"/>
              </w:rPr>
            </w:pPr>
            <w:r w:rsidRPr="00080145">
              <w:rPr>
                <w:rFonts w:ascii="Segoe UI" w:hAnsi="Segoe UI" w:cs="Segoe UI"/>
                <w:b/>
                <w:bCs/>
                <w:color w:val="auto"/>
                <w:sz w:val="20"/>
              </w:rPr>
              <w:t>Gangs/Serious Youth Violence (SYV)</w:t>
            </w:r>
          </w:p>
        </w:tc>
        <w:tc>
          <w:tcPr>
            <w:tcW w:w="0" w:type="auto"/>
          </w:tcPr>
          <w:p w14:paraId="4832380B" w14:textId="77777777" w:rsidR="00693F30" w:rsidRPr="00080145" w:rsidRDefault="00693F30" w:rsidP="00461BA9">
            <w:pPr>
              <w:rPr>
                <w:rFonts w:ascii="Segoe UI" w:hAnsi="Segoe UI" w:cs="Segoe UI"/>
                <w:bCs/>
                <w:color w:val="auto"/>
                <w:sz w:val="20"/>
              </w:rPr>
            </w:pPr>
            <w:r w:rsidRPr="00080145">
              <w:rPr>
                <w:rFonts w:ascii="Segoe UI" w:hAnsi="Segoe UI" w:cs="Segoe UI"/>
                <w:bCs/>
                <w:color w:val="auto"/>
                <w:sz w:val="20"/>
              </w:rPr>
              <w:t>The gang and serious youth violence projects are part of specific police-led initiatives.</w:t>
            </w:r>
          </w:p>
        </w:tc>
      </w:tr>
      <w:tr w:rsidR="00693F30" w:rsidRPr="00080145" w14:paraId="2668E12E" w14:textId="77777777" w:rsidTr="00461BA9">
        <w:trPr>
          <w:cantSplit/>
        </w:trPr>
        <w:tc>
          <w:tcPr>
            <w:tcW w:w="0" w:type="auto"/>
          </w:tcPr>
          <w:p w14:paraId="21DD153C" w14:textId="77777777" w:rsidR="00693F30" w:rsidRPr="00080145" w:rsidRDefault="00693F30" w:rsidP="00461BA9">
            <w:pPr>
              <w:ind w:left="22"/>
              <w:rPr>
                <w:rFonts w:ascii="Segoe UI" w:hAnsi="Segoe UI" w:cs="Segoe UI"/>
                <w:b/>
                <w:color w:val="auto"/>
                <w:sz w:val="20"/>
              </w:rPr>
            </w:pPr>
            <w:r w:rsidRPr="00080145">
              <w:rPr>
                <w:rFonts w:ascii="Segoe UI" w:hAnsi="Segoe UI" w:cs="Segoe UI"/>
                <w:b/>
                <w:color w:val="auto"/>
                <w:sz w:val="20"/>
              </w:rPr>
              <w:t>MACE - Multi-agency Child Exploitation Panel</w:t>
            </w:r>
          </w:p>
        </w:tc>
        <w:tc>
          <w:tcPr>
            <w:tcW w:w="0" w:type="auto"/>
          </w:tcPr>
          <w:p w14:paraId="39846023" w14:textId="77777777" w:rsidR="00693F30" w:rsidRPr="00080145" w:rsidRDefault="00693F30" w:rsidP="00461BA9">
            <w:pPr>
              <w:rPr>
                <w:rFonts w:ascii="Segoe UI" w:hAnsi="Segoe UI" w:cs="Segoe UI"/>
                <w:color w:val="auto"/>
                <w:sz w:val="20"/>
              </w:rPr>
            </w:pPr>
            <w:r w:rsidRPr="00080145">
              <w:rPr>
                <w:rFonts w:ascii="Segoe UI" w:hAnsi="Segoe UI" w:cs="Segoe UI"/>
                <w:color w:val="auto"/>
                <w:sz w:val="20"/>
              </w:rPr>
              <w:t>This group reviews cases of child exploitation.</w:t>
            </w:r>
          </w:p>
        </w:tc>
      </w:tr>
      <w:tr w:rsidR="00693F30" w:rsidRPr="00080145" w14:paraId="1871471D" w14:textId="77777777" w:rsidTr="00461BA9">
        <w:trPr>
          <w:cantSplit/>
        </w:trPr>
        <w:tc>
          <w:tcPr>
            <w:tcW w:w="0" w:type="auto"/>
          </w:tcPr>
          <w:p w14:paraId="2093599C" w14:textId="77777777" w:rsidR="00693F30" w:rsidRPr="00080145" w:rsidRDefault="00693F30" w:rsidP="00461BA9">
            <w:pPr>
              <w:ind w:left="22"/>
              <w:rPr>
                <w:rFonts w:ascii="Segoe UI" w:hAnsi="Segoe UI" w:cs="Segoe UI"/>
                <w:b/>
                <w:bCs/>
                <w:color w:val="auto"/>
                <w:sz w:val="20"/>
              </w:rPr>
            </w:pPr>
            <w:r w:rsidRPr="00080145">
              <w:rPr>
                <w:rFonts w:ascii="Segoe UI" w:hAnsi="Segoe UI" w:cs="Segoe UI"/>
                <w:b/>
                <w:color w:val="auto"/>
                <w:sz w:val="20"/>
              </w:rPr>
              <w:t>Multi-Agency Public Protection Arrangements.</w:t>
            </w:r>
            <w:r w:rsidRPr="00080145">
              <w:rPr>
                <w:rFonts w:ascii="Segoe UI" w:hAnsi="Segoe UI" w:cs="Segoe UI"/>
                <w:color w:val="auto"/>
                <w:sz w:val="20"/>
              </w:rPr>
              <w:t xml:space="preserve"> </w:t>
            </w:r>
          </w:p>
        </w:tc>
        <w:tc>
          <w:tcPr>
            <w:tcW w:w="0" w:type="auto"/>
          </w:tcPr>
          <w:p w14:paraId="4FE17C7A" w14:textId="77777777" w:rsidR="00693F30" w:rsidRPr="00080145" w:rsidRDefault="00693F30" w:rsidP="00461BA9">
            <w:pPr>
              <w:rPr>
                <w:rFonts w:ascii="Segoe UI" w:hAnsi="Segoe UI" w:cs="Segoe UI"/>
                <w:color w:val="auto"/>
                <w:sz w:val="20"/>
              </w:rPr>
            </w:pPr>
            <w:r w:rsidRPr="00080145">
              <w:rPr>
                <w:rFonts w:ascii="Segoe UI" w:hAnsi="Segoe UI" w:cs="Segoe UI"/>
                <w:color w:val="auto"/>
                <w:sz w:val="20"/>
              </w:rPr>
              <w:t>Public protection involves generally a different level of discussion to other agreements.</w:t>
            </w:r>
          </w:p>
        </w:tc>
      </w:tr>
      <w:tr w:rsidR="00693F30" w:rsidRPr="00080145" w14:paraId="7E827DEB" w14:textId="77777777" w:rsidTr="00461BA9">
        <w:trPr>
          <w:cantSplit/>
        </w:trPr>
        <w:tc>
          <w:tcPr>
            <w:tcW w:w="0" w:type="auto"/>
          </w:tcPr>
          <w:p w14:paraId="4CC1E180" w14:textId="77777777" w:rsidR="00693F30" w:rsidRPr="00080145" w:rsidRDefault="00693F30" w:rsidP="00461BA9">
            <w:pPr>
              <w:ind w:left="22"/>
              <w:rPr>
                <w:rFonts w:ascii="Segoe UI" w:hAnsi="Segoe UI" w:cs="Segoe UI"/>
                <w:b/>
                <w:color w:val="auto"/>
                <w:sz w:val="20"/>
              </w:rPr>
            </w:pPr>
            <w:r w:rsidRPr="00080145">
              <w:rPr>
                <w:rFonts w:ascii="Segoe UI" w:hAnsi="Segoe UI" w:cs="Segoe UI"/>
                <w:b/>
                <w:color w:val="auto"/>
                <w:sz w:val="20"/>
              </w:rPr>
              <w:t>Prevent</w:t>
            </w:r>
          </w:p>
        </w:tc>
        <w:tc>
          <w:tcPr>
            <w:tcW w:w="0" w:type="auto"/>
          </w:tcPr>
          <w:p w14:paraId="44F4CDA8" w14:textId="77777777" w:rsidR="00693F30" w:rsidRPr="00080145" w:rsidRDefault="00693F30" w:rsidP="00461BA9">
            <w:pPr>
              <w:rPr>
                <w:rFonts w:ascii="Segoe UI" w:hAnsi="Segoe UI" w:cs="Segoe UI"/>
                <w:color w:val="auto"/>
                <w:sz w:val="20"/>
              </w:rPr>
            </w:pPr>
            <w:r w:rsidRPr="00080145">
              <w:rPr>
                <w:rFonts w:ascii="Segoe UI" w:hAnsi="Segoe UI" w:cs="Segoe UI"/>
                <w:color w:val="auto"/>
                <w:sz w:val="20"/>
              </w:rPr>
              <w:t>The PREVENT strategy is aimed as reducing the risk of radicalisation of young persons</w:t>
            </w:r>
          </w:p>
        </w:tc>
      </w:tr>
      <w:tr w:rsidR="00693F30" w:rsidRPr="00080145" w14:paraId="45ACCDC2" w14:textId="77777777" w:rsidTr="00461BA9">
        <w:trPr>
          <w:cantSplit/>
        </w:trPr>
        <w:tc>
          <w:tcPr>
            <w:tcW w:w="0" w:type="auto"/>
          </w:tcPr>
          <w:p w14:paraId="6F25A30B" w14:textId="77777777" w:rsidR="00693F30" w:rsidRPr="00080145" w:rsidRDefault="00693F30" w:rsidP="00461BA9">
            <w:pPr>
              <w:rPr>
                <w:rFonts w:ascii="Segoe UI" w:hAnsi="Segoe UI" w:cs="Segoe UI"/>
                <w:bCs/>
                <w:color w:val="auto"/>
                <w:sz w:val="20"/>
              </w:rPr>
            </w:pPr>
            <w:r w:rsidRPr="00080145">
              <w:rPr>
                <w:rFonts w:ascii="Segoe UI" w:hAnsi="Segoe UI" w:cs="Segoe UI"/>
                <w:b/>
                <w:bCs/>
                <w:color w:val="auto"/>
                <w:sz w:val="20"/>
              </w:rPr>
              <w:t>Rescue &amp; Response (County Lines)</w:t>
            </w:r>
            <w:r w:rsidRPr="00080145">
              <w:rPr>
                <w:rFonts w:ascii="Segoe UI" w:hAnsi="Segoe UI" w:cs="Segoe UI"/>
                <w:color w:val="auto"/>
                <w:sz w:val="20"/>
              </w:rPr>
              <w:t xml:space="preserve">  </w:t>
            </w:r>
          </w:p>
        </w:tc>
        <w:tc>
          <w:tcPr>
            <w:tcW w:w="0" w:type="auto"/>
          </w:tcPr>
          <w:p w14:paraId="11ECD4CF" w14:textId="77777777" w:rsidR="00693F30" w:rsidRPr="00080145" w:rsidRDefault="00693F30" w:rsidP="00461BA9">
            <w:pPr>
              <w:rPr>
                <w:rFonts w:ascii="Segoe UI" w:hAnsi="Segoe UI" w:cs="Segoe UI"/>
                <w:bCs/>
                <w:color w:val="auto"/>
                <w:sz w:val="20"/>
              </w:rPr>
            </w:pPr>
            <w:r w:rsidRPr="00080145">
              <w:rPr>
                <w:rFonts w:ascii="Segoe UI" w:hAnsi="Segoe UI" w:cs="Segoe UI"/>
                <w:bCs/>
                <w:color w:val="auto"/>
                <w:sz w:val="20"/>
              </w:rPr>
              <w:t xml:space="preserve">The exploitation of persons to sell and move drugs between areas, commonly known as “county lines” is a major element of modern exploitation of young persons and in some cases, modern slavery. </w:t>
            </w:r>
          </w:p>
        </w:tc>
      </w:tr>
      <w:tr w:rsidR="00693F30" w:rsidRPr="00080145" w14:paraId="34828136" w14:textId="77777777" w:rsidTr="00461BA9">
        <w:trPr>
          <w:cantSplit/>
        </w:trPr>
        <w:tc>
          <w:tcPr>
            <w:tcW w:w="0" w:type="auto"/>
          </w:tcPr>
          <w:p w14:paraId="115E6D09" w14:textId="77777777" w:rsidR="00693F30" w:rsidRPr="00080145" w:rsidRDefault="00693F30" w:rsidP="00461BA9">
            <w:pPr>
              <w:ind w:left="22"/>
              <w:rPr>
                <w:rFonts w:ascii="Segoe UI" w:hAnsi="Segoe UI" w:cs="Segoe UI"/>
                <w:b/>
                <w:color w:val="auto"/>
                <w:sz w:val="20"/>
              </w:rPr>
            </w:pPr>
            <w:r w:rsidRPr="00080145">
              <w:rPr>
                <w:rFonts w:ascii="Segoe UI" w:hAnsi="Segoe UI" w:cs="Segoe UI"/>
                <w:b/>
                <w:color w:val="auto"/>
                <w:sz w:val="20"/>
              </w:rPr>
              <w:t>Troubled Families effectiveness review with MHCLG</w:t>
            </w:r>
          </w:p>
        </w:tc>
        <w:tc>
          <w:tcPr>
            <w:tcW w:w="0" w:type="auto"/>
          </w:tcPr>
          <w:p w14:paraId="6E89B8C6" w14:textId="77777777" w:rsidR="00693F30" w:rsidRPr="00080145" w:rsidRDefault="00693F30" w:rsidP="00461BA9">
            <w:pPr>
              <w:rPr>
                <w:rFonts w:ascii="Segoe UI" w:hAnsi="Segoe UI" w:cs="Segoe UI"/>
                <w:color w:val="auto"/>
                <w:sz w:val="20"/>
              </w:rPr>
            </w:pPr>
            <w:r w:rsidRPr="00080145">
              <w:rPr>
                <w:rFonts w:ascii="Segoe UI" w:hAnsi="Segoe UI" w:cs="Segoe UI"/>
                <w:color w:val="auto"/>
                <w:sz w:val="20"/>
              </w:rPr>
              <w:t>Troubled families was a programme created by government aimed at targeting specific families to reduce issue. It is now drawing to a close and reviews being carried out.</w:t>
            </w:r>
          </w:p>
        </w:tc>
      </w:tr>
    </w:tbl>
    <w:p w14:paraId="7BD8581A" w14:textId="2309B87B" w:rsidR="00D916F1" w:rsidRDefault="00D916F1" w:rsidP="00AB66F9"/>
    <w:p w14:paraId="46F70EFD" w14:textId="77777777" w:rsidR="008A7AE9" w:rsidRPr="00080145" w:rsidRDefault="008A7AE9" w:rsidP="00AB66F9"/>
    <w:p w14:paraId="25D6C90A" w14:textId="09375D78" w:rsidR="001E4879" w:rsidRPr="00080145" w:rsidRDefault="00D916F1" w:rsidP="007F1426">
      <w:pPr>
        <w:pStyle w:val="Heading1"/>
      </w:pPr>
      <w:bookmarkStart w:id="18" w:name="_Toc59206180"/>
      <w:r w:rsidRPr="00080145">
        <w:lastRenderedPageBreak/>
        <w:t>Purpose and Benefits</w:t>
      </w:r>
      <w:bookmarkEnd w:id="18"/>
    </w:p>
    <w:p w14:paraId="61C8F74C" w14:textId="5173F1E5" w:rsidR="00F10EA3" w:rsidRPr="00080145" w:rsidRDefault="00F10EA3" w:rsidP="00F10EA3">
      <w:pPr>
        <w:rPr>
          <w:color w:val="auto"/>
        </w:rPr>
      </w:pPr>
    </w:p>
    <w:p w14:paraId="3A33F41B" w14:textId="0D57C16F" w:rsidR="00322972" w:rsidRPr="00080145" w:rsidRDefault="00322972" w:rsidP="00322972">
      <w:pPr>
        <w:rPr>
          <w:color w:val="auto"/>
        </w:rPr>
      </w:pPr>
      <w:r w:rsidRPr="00080145">
        <w:rPr>
          <w:color w:val="auto"/>
        </w:rPr>
        <w:t xml:space="preserve">Research and experience has demonstrated the importance of information sharing across professional boundaries to safeguard the welfare of children. The Children Act 2004 emphasises the importance of safeguarding children by stating that relevant partner agencies - which include the police, local authority children services and NHS Trusts - must make sure that functions are discharged with the aim of safeguarding and promoting the welfare of children. The Act also states that they must promote co-operation between relevant partner agencies to improve the well-being of children in their area. </w:t>
      </w:r>
    </w:p>
    <w:p w14:paraId="0D240C3F" w14:textId="77777777" w:rsidR="00322972" w:rsidRPr="00080145" w:rsidRDefault="00322972" w:rsidP="00322972">
      <w:pPr>
        <w:rPr>
          <w:color w:val="auto"/>
        </w:rPr>
      </w:pPr>
      <w:r w:rsidRPr="00080145">
        <w:rPr>
          <w:color w:val="auto"/>
        </w:rPr>
        <w:t>Information necessary for safeguarding decisions in relation to children and young people is held by numerous statutory and non-statutory agencies. Many sad cases across the UK have highlighted deficiencies within safeguarding partnerships in relation to the sharing of information and communication. Some serious case reviews and inquiries (such as the Laming, Bichard and Baby P inquiries) have directly attributed the lack of good information sharing and communication to the subsequent death of an individual.</w:t>
      </w:r>
    </w:p>
    <w:p w14:paraId="1E147C8C" w14:textId="77777777" w:rsidR="00322972" w:rsidRPr="00080145" w:rsidRDefault="00322972" w:rsidP="00322972">
      <w:pPr>
        <w:rPr>
          <w:color w:val="auto"/>
        </w:rPr>
      </w:pPr>
      <w:r w:rsidRPr="00080145">
        <w:rPr>
          <w:color w:val="auto"/>
        </w:rPr>
        <w:t>To deliver the best safeguarding decisions that ensure timely, necessary and proportionate interventions, decision makers need the full information picture concerning an individual and their circumstances to be available to them. Information viewed alone or in silos may not give the full picture or identify the true risk. All the information from various agencies needs to be available and accessible in one place; to keep children safe and assist signatories to this Agreement in discharging their obligations under the Act and other legislation.</w:t>
      </w:r>
    </w:p>
    <w:p w14:paraId="6813AC90" w14:textId="77777777" w:rsidR="00322972" w:rsidRPr="00080145" w:rsidRDefault="00322972" w:rsidP="00F10EA3">
      <w:pPr>
        <w:rPr>
          <w:color w:val="auto"/>
        </w:rPr>
      </w:pPr>
    </w:p>
    <w:p w14:paraId="1FFF3C4D" w14:textId="7EA784C4" w:rsidR="00F10EA3" w:rsidRPr="00080145" w:rsidRDefault="00D56817" w:rsidP="00F10EA3">
      <w:pPr>
        <w:pStyle w:val="Heading2"/>
        <w:rPr>
          <w:lang w:val="en-GB"/>
        </w:rPr>
      </w:pPr>
      <w:bookmarkStart w:id="19" w:name="_Toc59206181"/>
      <w:r w:rsidRPr="00080145">
        <w:rPr>
          <w:lang w:val="en-GB"/>
        </w:rPr>
        <w:t>The f</w:t>
      </w:r>
      <w:r w:rsidR="003C251D" w:rsidRPr="00080145">
        <w:rPr>
          <w:lang w:val="en-GB"/>
        </w:rPr>
        <w:t xml:space="preserve">ront </w:t>
      </w:r>
      <w:r w:rsidRPr="00080145">
        <w:rPr>
          <w:lang w:val="en-GB"/>
        </w:rPr>
        <w:t>door for c</w:t>
      </w:r>
      <w:r w:rsidR="003C251D" w:rsidRPr="00080145">
        <w:rPr>
          <w:lang w:val="en-GB"/>
        </w:rPr>
        <w:t xml:space="preserve">hildren’s </w:t>
      </w:r>
      <w:r w:rsidRPr="00080145">
        <w:rPr>
          <w:lang w:val="en-GB"/>
        </w:rPr>
        <w:t>s</w:t>
      </w:r>
      <w:r w:rsidR="003C251D" w:rsidRPr="00080145">
        <w:rPr>
          <w:lang w:val="en-GB"/>
        </w:rPr>
        <w:t xml:space="preserve">ocial </w:t>
      </w:r>
      <w:r w:rsidRPr="00080145">
        <w:rPr>
          <w:lang w:val="en-GB"/>
        </w:rPr>
        <w:t>c</w:t>
      </w:r>
      <w:r w:rsidR="003C251D" w:rsidRPr="00080145">
        <w:rPr>
          <w:lang w:val="en-GB"/>
        </w:rPr>
        <w:t>are</w:t>
      </w:r>
      <w:bookmarkEnd w:id="19"/>
      <w:r w:rsidR="00F10EA3" w:rsidRPr="00080145">
        <w:rPr>
          <w:color w:val="auto"/>
          <w:lang w:val="en-GB"/>
        </w:rPr>
        <w:t xml:space="preserve"> </w:t>
      </w:r>
    </w:p>
    <w:p w14:paraId="61F3ACAF" w14:textId="0D372802" w:rsidR="00F10EA3" w:rsidRPr="00080145" w:rsidRDefault="00F10EA3" w:rsidP="00F10EA3">
      <w:pPr>
        <w:rPr>
          <w:color w:val="auto"/>
        </w:rPr>
      </w:pPr>
      <w:r w:rsidRPr="00080145">
        <w:rPr>
          <w:color w:val="auto"/>
        </w:rPr>
        <w:t>The core function of the front door to children’s social care</w:t>
      </w:r>
      <w:r w:rsidR="00651046" w:rsidRPr="00080145">
        <w:rPr>
          <w:color w:val="auto"/>
        </w:rPr>
        <w:t xml:space="preserve"> </w:t>
      </w:r>
      <w:r w:rsidR="003C251D" w:rsidRPr="00080145">
        <w:rPr>
          <w:color w:val="auto"/>
        </w:rPr>
        <w:t>(CSC)</w:t>
      </w:r>
      <w:r w:rsidRPr="00080145">
        <w:rPr>
          <w:color w:val="auto"/>
        </w:rPr>
        <w:t xml:space="preserve"> is to assess the level of need and risk associated with the contacts and referrals received. The role of the front door ends once a recommendation has been made on the next steps, for example a social work assessment, referral to early help or no further action. Multi-agency safeguarding information is gathered on a proportion of contacts and referrals to CSC where it has been identified that this is necessary </w:t>
      </w:r>
      <w:r w:rsidR="00D56817" w:rsidRPr="00080145">
        <w:rPr>
          <w:color w:val="auto"/>
        </w:rPr>
        <w:t>to</w:t>
      </w:r>
      <w:r w:rsidRPr="00080145">
        <w:rPr>
          <w:color w:val="auto"/>
        </w:rPr>
        <w:t xml:space="preserve"> inform an assessment of need and risk.</w:t>
      </w:r>
    </w:p>
    <w:p w14:paraId="5C34A73D" w14:textId="7CCA0032" w:rsidR="00F10EA3" w:rsidRPr="00080145" w:rsidRDefault="003C251D" w:rsidP="00F10EA3">
      <w:pPr>
        <w:rPr>
          <w:color w:val="auto"/>
        </w:rPr>
      </w:pPr>
      <w:r w:rsidRPr="00080145">
        <w:rPr>
          <w:color w:val="auto"/>
        </w:rPr>
        <w:t>Local authorities run the ‘front door’ processes differently.</w:t>
      </w:r>
    </w:p>
    <w:p w14:paraId="6B00BE0D" w14:textId="77777777" w:rsidR="00F10EA3" w:rsidRPr="00080145" w:rsidRDefault="00F10EA3" w:rsidP="00F10EA3">
      <w:pPr>
        <w:rPr>
          <w:color w:val="auto"/>
        </w:rPr>
      </w:pPr>
      <w:r w:rsidRPr="00080145">
        <w:rPr>
          <w:color w:val="auto"/>
        </w:rPr>
        <w:t>The core elements are:</w:t>
      </w:r>
    </w:p>
    <w:p w14:paraId="1687F256" w14:textId="6B575115" w:rsidR="00F10EA3" w:rsidRPr="00080145" w:rsidRDefault="00DE1BB8" w:rsidP="003E63E7">
      <w:pPr>
        <w:pStyle w:val="ListParagraph"/>
        <w:numPr>
          <w:ilvl w:val="0"/>
          <w:numId w:val="8"/>
        </w:numPr>
        <w:rPr>
          <w:sz w:val="22"/>
        </w:rPr>
      </w:pPr>
      <w:r>
        <w:rPr>
          <w:sz w:val="22"/>
        </w:rPr>
        <w:t>N</w:t>
      </w:r>
      <w:r w:rsidR="00F10EA3" w:rsidRPr="00080145">
        <w:rPr>
          <w:sz w:val="22"/>
        </w:rPr>
        <w:t>otifications relating to the safeguarding or welfare of children go through a single point of contact</w:t>
      </w:r>
      <w:r>
        <w:rPr>
          <w:sz w:val="22"/>
        </w:rPr>
        <w:t xml:space="preserve"> – or, in a small number of local authorities, there are two points of contact.</w:t>
      </w:r>
    </w:p>
    <w:p w14:paraId="78687939" w14:textId="6C4E91F7" w:rsidR="00F10EA3" w:rsidRPr="00080145" w:rsidRDefault="00F10EA3" w:rsidP="003E63E7">
      <w:pPr>
        <w:pStyle w:val="ListParagraph"/>
        <w:numPr>
          <w:ilvl w:val="0"/>
          <w:numId w:val="8"/>
        </w:numPr>
        <w:rPr>
          <w:sz w:val="22"/>
        </w:rPr>
      </w:pPr>
      <w:r w:rsidRPr="00080145">
        <w:rPr>
          <w:sz w:val="22"/>
        </w:rPr>
        <w:t>Engagement with children and families is a vital part of the assessment of need and risk.</w:t>
      </w:r>
    </w:p>
    <w:p w14:paraId="5AFF7172" w14:textId="025E4CF5" w:rsidR="00F10EA3" w:rsidRPr="00080145" w:rsidRDefault="00F10EA3" w:rsidP="003E63E7">
      <w:pPr>
        <w:pStyle w:val="ListParagraph"/>
        <w:numPr>
          <w:ilvl w:val="0"/>
          <w:numId w:val="8"/>
        </w:numPr>
        <w:rPr>
          <w:sz w:val="22"/>
        </w:rPr>
      </w:pPr>
      <w:r w:rsidRPr="00080145">
        <w:rPr>
          <w:sz w:val="22"/>
        </w:rPr>
        <w:t>A co-located team of professionals from core agencies research</w:t>
      </w:r>
      <w:r w:rsidR="00D56817" w:rsidRPr="00080145">
        <w:rPr>
          <w:sz w:val="22"/>
        </w:rPr>
        <w:t xml:space="preserve"> who</w:t>
      </w:r>
      <w:r w:rsidRPr="00080145">
        <w:rPr>
          <w:sz w:val="22"/>
        </w:rPr>
        <w:t xml:space="preserve"> interpret and determine what is proportionate and relevant to share</w:t>
      </w:r>
      <w:r w:rsidR="00D56817" w:rsidRPr="00080145">
        <w:rPr>
          <w:sz w:val="22"/>
        </w:rPr>
        <w:t>.</w:t>
      </w:r>
    </w:p>
    <w:p w14:paraId="14B0186E" w14:textId="4BAB81D3" w:rsidR="00F10EA3" w:rsidRPr="00080145" w:rsidRDefault="00F10EA3" w:rsidP="003E63E7">
      <w:pPr>
        <w:pStyle w:val="ListParagraph"/>
        <w:numPr>
          <w:ilvl w:val="0"/>
          <w:numId w:val="8"/>
        </w:numPr>
        <w:rPr>
          <w:sz w:val="22"/>
        </w:rPr>
      </w:pPr>
      <w:r w:rsidRPr="00080145">
        <w:rPr>
          <w:sz w:val="22"/>
        </w:rPr>
        <w:t>Risk is analysed and assessed, based on the fullest information picture and used to decide what action should be taken.</w:t>
      </w:r>
      <w:r w:rsidR="00651046" w:rsidRPr="00080145">
        <w:rPr>
          <w:sz w:val="22"/>
        </w:rPr>
        <w:br/>
      </w:r>
    </w:p>
    <w:p w14:paraId="71569A6C" w14:textId="1531E3D9" w:rsidR="00651046" w:rsidRPr="00080145" w:rsidRDefault="00651046" w:rsidP="00651046">
      <w:pPr>
        <w:pStyle w:val="Heading2"/>
        <w:rPr>
          <w:lang w:val="en-GB"/>
        </w:rPr>
      </w:pPr>
      <w:bookmarkStart w:id="20" w:name="_Toc59206182"/>
      <w:r w:rsidRPr="00080145">
        <w:rPr>
          <w:lang w:val="en-GB"/>
        </w:rPr>
        <w:t>The MASH</w:t>
      </w:r>
      <w:bookmarkEnd w:id="20"/>
      <w:r w:rsidRPr="00080145">
        <w:rPr>
          <w:color w:val="auto"/>
          <w:lang w:val="en-GB"/>
        </w:rPr>
        <w:t xml:space="preserve"> </w:t>
      </w:r>
    </w:p>
    <w:p w14:paraId="0CE87E01" w14:textId="3C5214F1" w:rsidR="00F10EA3" w:rsidRPr="00080145" w:rsidRDefault="00651046" w:rsidP="00F10EA3">
      <w:pPr>
        <w:rPr>
          <w:color w:val="auto"/>
        </w:rPr>
      </w:pPr>
      <w:bookmarkStart w:id="21" w:name="_Hlk55379746"/>
      <w:r w:rsidRPr="00080145">
        <w:rPr>
          <w:color w:val="auto"/>
        </w:rPr>
        <w:t xml:space="preserve">The </w:t>
      </w:r>
      <w:r w:rsidR="00F10EA3" w:rsidRPr="00080145">
        <w:rPr>
          <w:color w:val="auto"/>
        </w:rPr>
        <w:t xml:space="preserve">MASH </w:t>
      </w:r>
      <w:r w:rsidR="003C251D" w:rsidRPr="00080145">
        <w:rPr>
          <w:color w:val="auto"/>
        </w:rPr>
        <w:t xml:space="preserve">(Multi-Agency Safeguarding Hub) </w:t>
      </w:r>
      <w:r w:rsidR="00F10EA3" w:rsidRPr="00080145">
        <w:rPr>
          <w:color w:val="auto"/>
        </w:rPr>
        <w:t>is commonly misunderstood to be the whole process of responding to a contact into CSC up to allocation to a social w</w:t>
      </w:r>
      <w:r w:rsidRPr="00080145">
        <w:rPr>
          <w:color w:val="auto"/>
        </w:rPr>
        <w:t xml:space="preserve">orker. </w:t>
      </w:r>
      <w:r w:rsidR="00F10EA3" w:rsidRPr="00080145">
        <w:rPr>
          <w:color w:val="auto"/>
        </w:rPr>
        <w:t xml:space="preserve">Differences in </w:t>
      </w:r>
      <w:r w:rsidR="00D56817" w:rsidRPr="00080145">
        <w:rPr>
          <w:color w:val="auto"/>
        </w:rPr>
        <w:t xml:space="preserve">the </w:t>
      </w:r>
      <w:r w:rsidR="00F10EA3" w:rsidRPr="00080145">
        <w:rPr>
          <w:color w:val="auto"/>
        </w:rPr>
        <w:t xml:space="preserve">understanding between partners are exacerbated by conflicting use of the term ‘MASH’ in individual areas. MASH is currently used to refer to both a discrete process and various teams. For example, some boroughs call </w:t>
      </w:r>
      <w:r w:rsidR="00F10EA3" w:rsidRPr="00080145">
        <w:rPr>
          <w:color w:val="auto"/>
        </w:rPr>
        <w:lastRenderedPageBreak/>
        <w:t xml:space="preserve">their front door teams MASH and others have a separate team dedicated to carrying out multi-agency checks and call this MASH. All boroughs have a MASH process – the carrying out of multi-agency safeguarding checks. </w:t>
      </w:r>
    </w:p>
    <w:p w14:paraId="4D84A099" w14:textId="77777777" w:rsidR="00D81B52" w:rsidRPr="00080145" w:rsidRDefault="00D81B52" w:rsidP="00D81B52">
      <w:pPr>
        <w:rPr>
          <w:color w:val="auto"/>
        </w:rPr>
      </w:pPr>
      <w:r w:rsidRPr="00080145">
        <w:rPr>
          <w:color w:val="auto"/>
        </w:rPr>
        <w:t>This explains why this agreement is called the MAS (Multi-Agency Safeguarding) DSA, and not MASH.</w:t>
      </w:r>
    </w:p>
    <w:bookmarkEnd w:id="21"/>
    <w:p w14:paraId="23BDE8D4" w14:textId="045C1D10" w:rsidR="00F10EA3" w:rsidRPr="00080145" w:rsidRDefault="00F10EA3" w:rsidP="00F10EA3">
      <w:pPr>
        <w:rPr>
          <w:color w:val="auto"/>
        </w:rPr>
      </w:pPr>
      <w:r w:rsidRPr="00080145">
        <w:rPr>
          <w:color w:val="auto"/>
        </w:rPr>
        <w:t>Despite th</w:t>
      </w:r>
      <w:r w:rsidR="007E4435" w:rsidRPr="00080145">
        <w:rPr>
          <w:color w:val="auto"/>
        </w:rPr>
        <w:t>e apparent differences, there i</w:t>
      </w:r>
      <w:r w:rsidRPr="00080145">
        <w:rPr>
          <w:color w:val="auto"/>
        </w:rPr>
        <w:t xml:space="preserve">s considerable commonality in the basic process at the front door followed by </w:t>
      </w:r>
      <w:r w:rsidR="00651046" w:rsidRPr="00080145">
        <w:rPr>
          <w:color w:val="auto"/>
        </w:rPr>
        <w:t>the London boroughs</w:t>
      </w:r>
      <w:r w:rsidRPr="00080145">
        <w:rPr>
          <w:color w:val="auto"/>
        </w:rPr>
        <w:t>. This is captured in the diagram below, and provides a foundation for developing a definition and core elements for the front door to CSC:</w:t>
      </w:r>
    </w:p>
    <w:p w14:paraId="58EA12E7" w14:textId="4BF3B203" w:rsidR="00F10EA3" w:rsidRPr="00080145" w:rsidRDefault="00F10EA3" w:rsidP="001E4879">
      <w:pPr>
        <w:rPr>
          <w:color w:val="auto"/>
          <w:highlight w:val="yellow"/>
        </w:rPr>
      </w:pPr>
    </w:p>
    <w:p w14:paraId="5F010B9C" w14:textId="478E2432" w:rsidR="00651046" w:rsidRPr="00080145" w:rsidRDefault="00651046" w:rsidP="001E4879">
      <w:pPr>
        <w:rPr>
          <w:color w:val="auto"/>
          <w:highlight w:val="yellow"/>
        </w:rPr>
      </w:pPr>
      <w:r w:rsidRPr="00080145">
        <w:rPr>
          <w:noProof/>
          <w:lang w:eastAsia="en-GB"/>
        </w:rPr>
        <w:drawing>
          <wp:inline distT="0" distB="0" distL="0" distR="0" wp14:anchorId="5D686130" wp14:editId="08656102">
            <wp:extent cx="5427980" cy="200787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27980" cy="2007870"/>
                    </a:xfrm>
                    <a:prstGeom prst="rect">
                      <a:avLst/>
                    </a:prstGeom>
                    <a:noFill/>
                    <a:ln>
                      <a:noFill/>
                    </a:ln>
                  </pic:spPr>
                </pic:pic>
              </a:graphicData>
            </a:graphic>
          </wp:inline>
        </w:drawing>
      </w:r>
    </w:p>
    <w:p w14:paraId="330F748C" w14:textId="36A36526" w:rsidR="007E4435" w:rsidRPr="00080145" w:rsidRDefault="007E4435" w:rsidP="001E4879">
      <w:pPr>
        <w:rPr>
          <w:color w:val="auto"/>
          <w:highlight w:val="yellow"/>
        </w:rPr>
      </w:pPr>
    </w:p>
    <w:p w14:paraId="488CB83F" w14:textId="77777777" w:rsidR="00651046" w:rsidRPr="00080145" w:rsidRDefault="00651046" w:rsidP="001E4879">
      <w:pPr>
        <w:rPr>
          <w:color w:val="auto"/>
          <w:highlight w:val="yellow"/>
        </w:rPr>
      </w:pPr>
    </w:p>
    <w:p w14:paraId="55EDAB4C" w14:textId="2D57F6D3" w:rsidR="00651046" w:rsidRPr="00080145" w:rsidRDefault="00651046" w:rsidP="00651046">
      <w:pPr>
        <w:pStyle w:val="Heading2"/>
        <w:rPr>
          <w:lang w:val="en-GB"/>
        </w:rPr>
      </w:pPr>
      <w:bookmarkStart w:id="22" w:name="_Toc51582905"/>
      <w:bookmarkStart w:id="23" w:name="_Toc258242039"/>
      <w:bookmarkStart w:id="24" w:name="_Toc59206183"/>
      <w:r w:rsidRPr="00080145">
        <w:rPr>
          <w:lang w:val="en-GB"/>
        </w:rPr>
        <w:t>Multi-agency safeguarding responsibilities</w:t>
      </w:r>
      <w:bookmarkEnd w:id="22"/>
      <w:bookmarkEnd w:id="24"/>
      <w:r w:rsidRPr="00080145">
        <w:rPr>
          <w:lang w:val="en-GB"/>
        </w:rPr>
        <w:br/>
      </w:r>
    </w:p>
    <w:p w14:paraId="47090434" w14:textId="273E155E" w:rsidR="00651046" w:rsidRPr="00080145" w:rsidRDefault="00103F20" w:rsidP="00651046">
      <w:pPr>
        <w:pStyle w:val="Body"/>
        <w:rPr>
          <w:color w:val="auto"/>
          <w:lang w:val="en-GB"/>
        </w:rPr>
      </w:pPr>
      <w:r>
        <w:rPr>
          <w:color w:val="auto"/>
          <w:lang w:val="en-GB"/>
        </w:rPr>
        <w:t>The front door to children’s social care</w:t>
      </w:r>
      <w:r w:rsidR="00CB786D" w:rsidRPr="00080145">
        <w:rPr>
          <w:color w:val="auto"/>
          <w:lang w:val="en-GB"/>
        </w:rPr>
        <w:t xml:space="preserve"> deliver</w:t>
      </w:r>
      <w:r w:rsidR="00814C48">
        <w:rPr>
          <w:color w:val="auto"/>
          <w:lang w:val="en-GB"/>
        </w:rPr>
        <w:t>s</w:t>
      </w:r>
      <w:r w:rsidR="00651046" w:rsidRPr="00080145">
        <w:rPr>
          <w:color w:val="auto"/>
          <w:lang w:val="en-GB"/>
        </w:rPr>
        <w:t xml:space="preserve"> key functions for borough safeguarding partnerships:</w:t>
      </w:r>
    </w:p>
    <w:p w14:paraId="3FF31941" w14:textId="0D54314B" w:rsidR="00651046" w:rsidRPr="00080145" w:rsidRDefault="00651046" w:rsidP="00651046">
      <w:pPr>
        <w:pStyle w:val="Body"/>
        <w:numPr>
          <w:ilvl w:val="0"/>
          <w:numId w:val="4"/>
        </w:numPr>
        <w:rPr>
          <w:color w:val="auto"/>
          <w:lang w:val="en-GB"/>
        </w:rPr>
      </w:pPr>
      <w:r w:rsidRPr="00080145">
        <w:rPr>
          <w:b/>
          <w:color w:val="auto"/>
          <w:lang w:val="en-GB"/>
        </w:rPr>
        <w:t>Information based risk assessment and decision making</w:t>
      </w:r>
      <w:r w:rsidRPr="00080145">
        <w:rPr>
          <w:color w:val="auto"/>
          <w:lang w:val="en-GB"/>
        </w:rPr>
        <w:t xml:space="preserve"> - Identify through the best information available to the safeguarding partnership</w:t>
      </w:r>
      <w:r w:rsidR="00D81B52" w:rsidRPr="00080145">
        <w:rPr>
          <w:color w:val="auto"/>
          <w:lang w:val="en-GB"/>
        </w:rPr>
        <w:t>,</w:t>
      </w:r>
      <w:r w:rsidRPr="00080145">
        <w:rPr>
          <w:color w:val="auto"/>
          <w:lang w:val="en-GB"/>
        </w:rPr>
        <w:t xml:space="preserve"> those children and young people who require support or a necessary and proportionate intervention.</w:t>
      </w:r>
    </w:p>
    <w:p w14:paraId="6C1CAEB3" w14:textId="4C7CD5F0" w:rsidR="00651046" w:rsidRPr="00080145" w:rsidRDefault="00651046" w:rsidP="00651046">
      <w:pPr>
        <w:pStyle w:val="Body"/>
        <w:numPr>
          <w:ilvl w:val="0"/>
          <w:numId w:val="4"/>
        </w:numPr>
        <w:rPr>
          <w:color w:val="auto"/>
          <w:lang w:val="en-GB"/>
        </w:rPr>
      </w:pPr>
      <w:r w:rsidRPr="00080145">
        <w:rPr>
          <w:b/>
          <w:color w:val="auto"/>
          <w:lang w:val="en-GB"/>
        </w:rPr>
        <w:t>Victim identification and harm reduction</w:t>
      </w:r>
      <w:r w:rsidRPr="00080145">
        <w:rPr>
          <w:color w:val="auto"/>
          <w:lang w:val="en-GB"/>
        </w:rPr>
        <w:t xml:space="preserve"> - Identify victims and future victims who are likely to experience harm</w:t>
      </w:r>
      <w:r w:rsidR="00D81B52" w:rsidRPr="00080145">
        <w:rPr>
          <w:color w:val="auto"/>
          <w:lang w:val="en-GB"/>
        </w:rPr>
        <w:t>,</w:t>
      </w:r>
      <w:r w:rsidRPr="00080145">
        <w:rPr>
          <w:color w:val="auto"/>
          <w:lang w:val="en-GB"/>
        </w:rPr>
        <w:t xml:space="preserve"> and ensure partners work together to deliver harm reduction strategies and intervention</w:t>
      </w:r>
      <w:r w:rsidR="00CB786D" w:rsidRPr="00080145">
        <w:rPr>
          <w:color w:val="auto"/>
          <w:lang w:val="en-GB"/>
        </w:rPr>
        <w:t>.</w:t>
      </w:r>
    </w:p>
    <w:p w14:paraId="0254F6CF" w14:textId="7D0E78EC" w:rsidR="00CB786D" w:rsidRPr="00080145" w:rsidRDefault="00CB786D" w:rsidP="00651046">
      <w:pPr>
        <w:pStyle w:val="Body"/>
        <w:numPr>
          <w:ilvl w:val="0"/>
          <w:numId w:val="4"/>
        </w:numPr>
        <w:rPr>
          <w:color w:val="auto"/>
          <w:lang w:val="en-GB"/>
        </w:rPr>
      </w:pPr>
      <w:r w:rsidRPr="00080145">
        <w:rPr>
          <w:b/>
          <w:color w:val="auto"/>
          <w:lang w:val="en-GB"/>
        </w:rPr>
        <w:t xml:space="preserve">Perpetrator identification </w:t>
      </w:r>
      <w:r w:rsidRPr="00080145">
        <w:rPr>
          <w:color w:val="auto"/>
          <w:lang w:val="en-GB"/>
        </w:rPr>
        <w:t>– Identify actual or potential perpetrators, to prosecute and/or support where appropriate.</w:t>
      </w:r>
    </w:p>
    <w:p w14:paraId="2366EBEF" w14:textId="265F4668" w:rsidR="00651046" w:rsidRPr="00080145" w:rsidRDefault="00651046" w:rsidP="00651046">
      <w:pPr>
        <w:pStyle w:val="Body"/>
        <w:numPr>
          <w:ilvl w:val="0"/>
          <w:numId w:val="4"/>
        </w:numPr>
        <w:rPr>
          <w:b/>
          <w:color w:val="auto"/>
          <w:lang w:val="en-GB"/>
        </w:rPr>
      </w:pPr>
      <w:r w:rsidRPr="00080145">
        <w:rPr>
          <w:b/>
          <w:color w:val="auto"/>
          <w:lang w:val="en-GB"/>
        </w:rPr>
        <w:t xml:space="preserve">Co-ordination of all safeguarding partners </w:t>
      </w:r>
      <w:r w:rsidRPr="00080145">
        <w:rPr>
          <w:color w:val="auto"/>
          <w:lang w:val="en-GB"/>
        </w:rPr>
        <w:t>- Ensure that the needs of all vulnerable people are identified and signposted to the relevant partner/s for the delivery and coordination of harm reduction strategies and interventions</w:t>
      </w:r>
      <w:r w:rsidR="00CB786D" w:rsidRPr="00080145">
        <w:rPr>
          <w:color w:val="auto"/>
          <w:lang w:val="en-GB"/>
        </w:rPr>
        <w:t>.</w:t>
      </w:r>
    </w:p>
    <w:p w14:paraId="22A4CB1B" w14:textId="77777777" w:rsidR="00651046" w:rsidRPr="00080145" w:rsidRDefault="00651046" w:rsidP="00651046">
      <w:pPr>
        <w:pStyle w:val="BodyheaderBase"/>
        <w:numPr>
          <w:ilvl w:val="0"/>
          <w:numId w:val="0"/>
        </w:numPr>
        <w:rPr>
          <w:color w:val="auto"/>
          <w:lang w:val="en-GB"/>
        </w:rPr>
      </w:pPr>
    </w:p>
    <w:p w14:paraId="0D822F8E" w14:textId="28DF0FBC" w:rsidR="001E4879" w:rsidRPr="00080145" w:rsidRDefault="001E4879" w:rsidP="00651046">
      <w:pPr>
        <w:pStyle w:val="Heading2"/>
        <w:rPr>
          <w:lang w:val="en-GB"/>
        </w:rPr>
      </w:pPr>
      <w:bookmarkStart w:id="25" w:name="_Toc51582906"/>
      <w:bookmarkStart w:id="26" w:name="_Toc59206184"/>
      <w:bookmarkEnd w:id="23"/>
      <w:r w:rsidRPr="00080145">
        <w:rPr>
          <w:lang w:val="en-GB"/>
        </w:rPr>
        <w:t>Wider safeguarding work</w:t>
      </w:r>
      <w:bookmarkEnd w:id="25"/>
      <w:bookmarkEnd w:id="26"/>
    </w:p>
    <w:p w14:paraId="640C19F8" w14:textId="52D562AC" w:rsidR="0001515D" w:rsidRPr="00080145" w:rsidRDefault="0001515D" w:rsidP="0001515D">
      <w:pPr>
        <w:rPr>
          <w:rFonts w:eastAsia="Times New Roman"/>
          <w:color w:val="auto"/>
          <w:lang w:eastAsia="en-GB"/>
        </w:rPr>
      </w:pPr>
      <w:r w:rsidRPr="00080145">
        <w:rPr>
          <w:color w:val="auto"/>
        </w:rPr>
        <w:t>This agreement covers the sharing of information by the listed agencies. However, it is recognised that information is often provided to one or more of the agencies through referrals from individuals or organ</w:t>
      </w:r>
      <w:r w:rsidR="005E01CD" w:rsidRPr="00080145">
        <w:rPr>
          <w:color w:val="auto"/>
        </w:rPr>
        <w:t>isat</w:t>
      </w:r>
      <w:r w:rsidRPr="00080145">
        <w:rPr>
          <w:color w:val="auto"/>
        </w:rPr>
        <w:t xml:space="preserve">ions not subject to this </w:t>
      </w:r>
      <w:r w:rsidR="005E3672" w:rsidRPr="00080145">
        <w:rPr>
          <w:color w:val="auto"/>
        </w:rPr>
        <w:t>DSA</w:t>
      </w:r>
      <w:r w:rsidRPr="00080145">
        <w:rPr>
          <w:color w:val="auto"/>
        </w:rPr>
        <w:t>, such as</w:t>
      </w:r>
      <w:r w:rsidRPr="00080145">
        <w:rPr>
          <w:rFonts w:eastAsia="Times New Roman"/>
          <w:color w:val="auto"/>
          <w:lang w:eastAsia="en-GB"/>
        </w:rPr>
        <w:t xml:space="preserve"> a member of the public, a school or health practitioner. This is the nature of the welfare and safeguarding work be</w:t>
      </w:r>
      <w:r w:rsidR="0096211B" w:rsidRPr="00080145">
        <w:rPr>
          <w:rFonts w:eastAsia="Times New Roman"/>
          <w:color w:val="auto"/>
          <w:lang w:eastAsia="en-GB"/>
        </w:rPr>
        <w:t>i</w:t>
      </w:r>
      <w:r w:rsidRPr="00080145">
        <w:rPr>
          <w:rFonts w:eastAsia="Times New Roman"/>
          <w:color w:val="auto"/>
          <w:lang w:eastAsia="en-GB"/>
        </w:rPr>
        <w:t>ng undertaken.</w:t>
      </w:r>
    </w:p>
    <w:p w14:paraId="74A43AE6" w14:textId="3C63409D" w:rsidR="0001515D" w:rsidRPr="00080145" w:rsidRDefault="0001515D" w:rsidP="0001515D">
      <w:pPr>
        <w:rPr>
          <w:color w:val="auto"/>
        </w:rPr>
      </w:pPr>
    </w:p>
    <w:p w14:paraId="5C0F31B2" w14:textId="77777777" w:rsidR="00322972" w:rsidRPr="00080145" w:rsidRDefault="00322972" w:rsidP="00322972">
      <w:pPr>
        <w:pStyle w:val="Heading2"/>
        <w:rPr>
          <w:lang w:val="en-GB"/>
        </w:rPr>
      </w:pPr>
      <w:bookmarkStart w:id="27" w:name="_Toc51582909"/>
      <w:bookmarkStart w:id="28" w:name="_Toc59206185"/>
      <w:r w:rsidRPr="00080145">
        <w:rPr>
          <w:lang w:val="en-GB"/>
        </w:rPr>
        <w:lastRenderedPageBreak/>
        <w:t>Benefits</w:t>
      </w:r>
      <w:bookmarkEnd w:id="28"/>
    </w:p>
    <w:p w14:paraId="64C515A2" w14:textId="77777777" w:rsidR="00322972" w:rsidRPr="00080145" w:rsidRDefault="00322972" w:rsidP="00322972">
      <w:pPr>
        <w:pStyle w:val="Body"/>
        <w:rPr>
          <w:lang w:val="en-GB"/>
        </w:rPr>
      </w:pPr>
      <w:r w:rsidRPr="00080145">
        <w:rPr>
          <w:lang w:val="en-GB"/>
        </w:rPr>
        <w:t>The benefits of this DSA</w:t>
      </w:r>
      <w:bookmarkEnd w:id="27"/>
      <w:r w:rsidRPr="00080145">
        <w:rPr>
          <w:lang w:val="en-GB"/>
        </w:rPr>
        <w:t xml:space="preserve"> are to:</w:t>
      </w:r>
    </w:p>
    <w:p w14:paraId="77DBE787" w14:textId="77777777" w:rsidR="00322972" w:rsidRPr="00080145" w:rsidRDefault="00322972" w:rsidP="00CB786D">
      <w:pPr>
        <w:pStyle w:val="Bodybullets"/>
        <w:tabs>
          <w:tab w:val="clear" w:pos="454"/>
        </w:tabs>
        <w:ind w:left="709" w:hanging="283"/>
        <w:rPr>
          <w:color w:val="auto"/>
          <w:lang w:val="en-GB"/>
        </w:rPr>
      </w:pPr>
      <w:r w:rsidRPr="00080145">
        <w:rPr>
          <w:color w:val="auto"/>
          <w:lang w:val="en-GB"/>
        </w:rPr>
        <w:t xml:space="preserve">Cover the sharing of information for child safeguarding and welfare purposes. </w:t>
      </w:r>
    </w:p>
    <w:p w14:paraId="4A4E13AA" w14:textId="77777777" w:rsidR="00322972" w:rsidRPr="00080145" w:rsidRDefault="00322972" w:rsidP="00CB786D">
      <w:pPr>
        <w:pStyle w:val="Bodybullets"/>
        <w:tabs>
          <w:tab w:val="clear" w:pos="454"/>
        </w:tabs>
        <w:ind w:left="709" w:hanging="283"/>
        <w:rPr>
          <w:color w:val="auto"/>
          <w:lang w:val="en-GB"/>
        </w:rPr>
      </w:pPr>
      <w:r w:rsidRPr="00080145">
        <w:rPr>
          <w:color w:val="auto"/>
          <w:lang w:val="en-GB"/>
        </w:rPr>
        <w:t xml:space="preserve">Remove barriers to effective information sharing. </w:t>
      </w:r>
    </w:p>
    <w:p w14:paraId="305530B5" w14:textId="77777777" w:rsidR="00322972" w:rsidRPr="00080145" w:rsidRDefault="00322972" w:rsidP="00CB786D">
      <w:pPr>
        <w:pStyle w:val="Bodybullets"/>
        <w:tabs>
          <w:tab w:val="clear" w:pos="454"/>
        </w:tabs>
        <w:ind w:left="709" w:hanging="283"/>
        <w:rPr>
          <w:color w:val="auto"/>
          <w:lang w:val="en-GB"/>
        </w:rPr>
      </w:pPr>
      <w:r w:rsidRPr="00080145">
        <w:rPr>
          <w:color w:val="auto"/>
          <w:lang w:val="en-GB"/>
        </w:rPr>
        <w:t>Sets parameters for sharing personal data and clearly identifies the responsibilities of organisations.</w:t>
      </w:r>
    </w:p>
    <w:p w14:paraId="4F3A6253" w14:textId="77777777" w:rsidR="00322972" w:rsidRPr="00080145" w:rsidRDefault="00322972" w:rsidP="00CB786D">
      <w:pPr>
        <w:pStyle w:val="Bodybullets"/>
        <w:tabs>
          <w:tab w:val="clear" w:pos="454"/>
        </w:tabs>
        <w:ind w:left="709" w:hanging="283"/>
        <w:rPr>
          <w:color w:val="auto"/>
          <w:lang w:val="en-GB"/>
        </w:rPr>
      </w:pPr>
      <w:r w:rsidRPr="00080145">
        <w:rPr>
          <w:color w:val="auto"/>
          <w:lang w:val="en-GB"/>
        </w:rPr>
        <w:t xml:space="preserve">Identify the correct lawful basis to share personal information. </w:t>
      </w:r>
    </w:p>
    <w:p w14:paraId="0DDAEA70" w14:textId="77777777" w:rsidR="00322972" w:rsidRPr="00080145" w:rsidRDefault="00322972" w:rsidP="00CB786D">
      <w:pPr>
        <w:pStyle w:val="Bodybullets"/>
        <w:tabs>
          <w:tab w:val="clear" w:pos="454"/>
        </w:tabs>
        <w:ind w:left="709" w:hanging="283"/>
        <w:rPr>
          <w:color w:val="auto"/>
          <w:lang w:val="en-GB"/>
        </w:rPr>
      </w:pPr>
      <w:r w:rsidRPr="00080145">
        <w:rPr>
          <w:color w:val="auto"/>
          <w:lang w:val="en-GB"/>
        </w:rPr>
        <w:t>Ensure information is shared whenever there is a requirement to do so.</w:t>
      </w:r>
    </w:p>
    <w:p w14:paraId="22608DD3" w14:textId="77777777" w:rsidR="00322972" w:rsidRPr="00080145" w:rsidRDefault="00322972" w:rsidP="00CB786D">
      <w:pPr>
        <w:pStyle w:val="Bodybullets"/>
        <w:tabs>
          <w:tab w:val="clear" w:pos="454"/>
        </w:tabs>
        <w:ind w:left="709" w:hanging="283"/>
        <w:rPr>
          <w:color w:val="auto"/>
          <w:lang w:val="en-GB"/>
        </w:rPr>
      </w:pPr>
      <w:r w:rsidRPr="00080145">
        <w:rPr>
          <w:color w:val="auto"/>
          <w:lang w:val="en-GB"/>
        </w:rPr>
        <w:t>Enables authorities to share data on performance, quality assurance, learning and impact analysis.</w:t>
      </w:r>
    </w:p>
    <w:p w14:paraId="6D2DA7E6" w14:textId="77777777" w:rsidR="00322972" w:rsidRPr="00080145" w:rsidRDefault="00322972" w:rsidP="00CB786D">
      <w:pPr>
        <w:pStyle w:val="Bodybullets"/>
        <w:tabs>
          <w:tab w:val="clear" w:pos="454"/>
        </w:tabs>
        <w:ind w:left="709" w:hanging="283"/>
        <w:rPr>
          <w:color w:val="auto"/>
          <w:lang w:val="en-GB"/>
        </w:rPr>
      </w:pPr>
      <w:r w:rsidRPr="00080145">
        <w:rPr>
          <w:color w:val="auto"/>
          <w:lang w:val="en-GB"/>
        </w:rPr>
        <w:t>Raises awareness amongst all agencies of the key issues relating to information sharing and gives confidence in the process of sharing information with others.</w:t>
      </w:r>
    </w:p>
    <w:p w14:paraId="5DDAF4AE" w14:textId="249259E1" w:rsidR="00322972" w:rsidRPr="00080145" w:rsidRDefault="00322972" w:rsidP="00322972">
      <w:pPr>
        <w:pStyle w:val="Body"/>
        <w:rPr>
          <w:color w:val="auto"/>
          <w:lang w:val="en-GB"/>
        </w:rPr>
      </w:pPr>
      <w:r w:rsidRPr="00080145">
        <w:rPr>
          <w:color w:val="auto"/>
          <w:lang w:val="en-GB"/>
        </w:rPr>
        <w:t xml:space="preserve">The </w:t>
      </w:r>
      <w:r w:rsidR="00B30F18">
        <w:rPr>
          <w:color w:val="auto"/>
          <w:lang w:val="en-GB"/>
        </w:rPr>
        <w:t>front door to children’s social care</w:t>
      </w:r>
      <w:r w:rsidRPr="00080145">
        <w:rPr>
          <w:color w:val="auto"/>
          <w:lang w:val="en-GB"/>
        </w:rPr>
        <w:t xml:space="preserve"> provides triage and multi-agency assessment of safeguarding concerns in respect of vulnerable children; to support their welfare and improve their outcomes. It brings together professionals from a range of agencies into an integrated multi-agency team to deliver:</w:t>
      </w:r>
    </w:p>
    <w:p w14:paraId="33E99BB1" w14:textId="5F423667" w:rsidR="00322972" w:rsidRPr="00080145" w:rsidRDefault="00322972" w:rsidP="00CB786D">
      <w:pPr>
        <w:pStyle w:val="Bodybullets"/>
        <w:tabs>
          <w:tab w:val="clear" w:pos="454"/>
        </w:tabs>
        <w:ind w:left="709" w:hanging="283"/>
        <w:rPr>
          <w:rFonts w:eastAsia="Times New Roman"/>
          <w:color w:val="auto"/>
          <w:lang w:val="en-GB" w:eastAsia="en-GB"/>
        </w:rPr>
      </w:pPr>
      <w:r w:rsidRPr="00080145">
        <w:rPr>
          <w:rFonts w:eastAsia="Times New Roman"/>
          <w:color w:val="auto"/>
          <w:lang w:val="en-GB" w:eastAsia="en-GB"/>
        </w:rPr>
        <w:t>Faster, more coordinated and consistent response to safeguarding concerns.</w:t>
      </w:r>
    </w:p>
    <w:p w14:paraId="24069F08" w14:textId="77777777" w:rsidR="00322972" w:rsidRPr="00080145" w:rsidRDefault="00322972" w:rsidP="00CB786D">
      <w:pPr>
        <w:pStyle w:val="Bodybullets"/>
        <w:tabs>
          <w:tab w:val="clear" w:pos="454"/>
        </w:tabs>
        <w:ind w:left="709" w:hanging="283"/>
        <w:rPr>
          <w:rFonts w:eastAsia="Times New Roman"/>
          <w:color w:val="auto"/>
          <w:lang w:val="en-GB" w:eastAsia="en-GB"/>
        </w:rPr>
      </w:pPr>
      <w:r w:rsidRPr="00080145">
        <w:rPr>
          <w:rFonts w:eastAsia="Times New Roman"/>
          <w:color w:val="auto"/>
          <w:lang w:val="en-GB" w:eastAsia="en-GB"/>
        </w:rPr>
        <w:t>A more accurate assessment of the risk and need.</w:t>
      </w:r>
    </w:p>
    <w:p w14:paraId="2D0FC58E" w14:textId="77777777" w:rsidR="00322972" w:rsidRPr="00080145" w:rsidRDefault="00322972" w:rsidP="00CB786D">
      <w:pPr>
        <w:pStyle w:val="Bodybullets"/>
        <w:tabs>
          <w:tab w:val="clear" w:pos="454"/>
        </w:tabs>
        <w:ind w:left="709" w:hanging="283"/>
        <w:rPr>
          <w:rFonts w:eastAsia="Times New Roman"/>
          <w:color w:val="auto"/>
          <w:lang w:val="en-GB" w:eastAsia="en-GB"/>
        </w:rPr>
      </w:pPr>
      <w:r w:rsidRPr="00080145">
        <w:rPr>
          <w:rFonts w:eastAsia="Times New Roman"/>
          <w:color w:val="auto"/>
          <w:lang w:val="en-GB" w:eastAsia="en-GB"/>
        </w:rPr>
        <w:t>A more thorough and focused management of all cases.</w:t>
      </w:r>
    </w:p>
    <w:p w14:paraId="11067550" w14:textId="652186E7" w:rsidR="00322972" w:rsidRPr="00080145" w:rsidRDefault="00322972" w:rsidP="00CB786D">
      <w:pPr>
        <w:pStyle w:val="Bodybullets"/>
        <w:tabs>
          <w:tab w:val="clear" w:pos="454"/>
        </w:tabs>
        <w:ind w:left="709" w:hanging="283"/>
        <w:rPr>
          <w:rFonts w:eastAsia="Times New Roman"/>
          <w:color w:val="auto"/>
          <w:lang w:val="en-GB" w:eastAsia="en-GB"/>
        </w:rPr>
      </w:pPr>
      <w:r w:rsidRPr="00080145">
        <w:rPr>
          <w:rFonts w:eastAsia="Times New Roman"/>
          <w:color w:val="auto"/>
          <w:lang w:val="en-GB" w:eastAsia="en-GB"/>
        </w:rPr>
        <w:t>Improving outcomes for children and their families.</w:t>
      </w:r>
    </w:p>
    <w:p w14:paraId="511AB5A5" w14:textId="77777777" w:rsidR="00322972" w:rsidRPr="00080145" w:rsidRDefault="00322972" w:rsidP="00CB786D">
      <w:pPr>
        <w:pStyle w:val="Bodybullets"/>
        <w:tabs>
          <w:tab w:val="clear" w:pos="454"/>
        </w:tabs>
        <w:ind w:left="709" w:hanging="283"/>
        <w:rPr>
          <w:rFonts w:eastAsia="Times New Roman"/>
          <w:color w:val="auto"/>
          <w:lang w:val="en-GB" w:eastAsia="en-GB"/>
        </w:rPr>
      </w:pPr>
      <w:r w:rsidRPr="00080145">
        <w:rPr>
          <w:rFonts w:eastAsia="Times New Roman"/>
          <w:color w:val="auto"/>
          <w:lang w:val="en-GB" w:eastAsia="en-GB"/>
        </w:rPr>
        <w:t>Better understanding between professionals.</w:t>
      </w:r>
    </w:p>
    <w:p w14:paraId="08B76BB6" w14:textId="41C7976C" w:rsidR="00322972" w:rsidRPr="00080145" w:rsidRDefault="00322972" w:rsidP="00CB786D">
      <w:pPr>
        <w:pStyle w:val="Bodybullets"/>
        <w:tabs>
          <w:tab w:val="clear" w:pos="454"/>
        </w:tabs>
        <w:ind w:left="709" w:hanging="283"/>
        <w:rPr>
          <w:rFonts w:eastAsia="Times New Roman"/>
          <w:color w:val="auto"/>
          <w:lang w:val="en-GB" w:eastAsia="en-GB"/>
        </w:rPr>
      </w:pPr>
      <w:r w:rsidRPr="00080145">
        <w:rPr>
          <w:rFonts w:eastAsia="Times New Roman"/>
          <w:color w:val="auto"/>
          <w:lang w:val="en-GB" w:eastAsia="en-GB"/>
        </w:rPr>
        <w:t xml:space="preserve">Greater efficiencies in processes and resources. </w:t>
      </w:r>
    </w:p>
    <w:p w14:paraId="2108DEAE" w14:textId="7BC0015C" w:rsidR="00322972" w:rsidRPr="00080145" w:rsidRDefault="00322972" w:rsidP="00CB786D">
      <w:pPr>
        <w:pStyle w:val="Bodybullets"/>
        <w:tabs>
          <w:tab w:val="clear" w:pos="454"/>
        </w:tabs>
        <w:ind w:left="709" w:hanging="283"/>
        <w:rPr>
          <w:rFonts w:eastAsia="Times New Roman"/>
          <w:color w:val="auto"/>
          <w:lang w:val="en-GB" w:eastAsia="en-GB"/>
        </w:rPr>
      </w:pPr>
      <w:r w:rsidRPr="00080145">
        <w:rPr>
          <w:rFonts w:eastAsia="Times New Roman"/>
          <w:color w:val="auto"/>
          <w:lang w:val="en-GB" w:eastAsia="en-GB"/>
        </w:rPr>
        <w:t>Preventing and detecting crime.</w:t>
      </w:r>
    </w:p>
    <w:p w14:paraId="631B7457" w14:textId="7620A51B" w:rsidR="00322972" w:rsidRPr="00080145" w:rsidRDefault="00322972" w:rsidP="0001515D">
      <w:pPr>
        <w:rPr>
          <w:color w:val="auto"/>
        </w:rPr>
      </w:pPr>
    </w:p>
    <w:p w14:paraId="162ED269" w14:textId="77777777" w:rsidR="00D81B52" w:rsidRPr="00080145" w:rsidRDefault="00D81B52" w:rsidP="00D81B52">
      <w:pPr>
        <w:pStyle w:val="Heading2"/>
        <w:rPr>
          <w:lang w:val="en-GB"/>
        </w:rPr>
      </w:pPr>
      <w:bookmarkStart w:id="29" w:name="_Toc51582914"/>
      <w:bookmarkStart w:id="30" w:name="_Toc59206186"/>
      <w:r w:rsidRPr="00080145">
        <w:rPr>
          <w:lang w:val="en-GB"/>
        </w:rPr>
        <w:t>Principles of information sharing</w:t>
      </w:r>
      <w:bookmarkEnd w:id="29"/>
      <w:bookmarkEnd w:id="30"/>
      <w:r w:rsidRPr="00080145">
        <w:rPr>
          <w:lang w:val="en-GB"/>
        </w:rPr>
        <w:t xml:space="preserve"> </w:t>
      </w:r>
    </w:p>
    <w:p w14:paraId="1D4AC191" w14:textId="77777777" w:rsidR="00D81B52" w:rsidRPr="00080145" w:rsidRDefault="00D81B52" w:rsidP="00D81B52">
      <w:pPr>
        <w:pStyle w:val="Body"/>
        <w:rPr>
          <w:color w:val="auto"/>
          <w:lang w:val="en-GB" w:eastAsia="en-GB"/>
        </w:rPr>
      </w:pPr>
      <w:r w:rsidRPr="00080145">
        <w:rPr>
          <w:color w:val="auto"/>
          <w:lang w:val="en-GB" w:eastAsia="en-GB"/>
        </w:rPr>
        <w:t>Effective information sharing is a vital element of both early intervention and safeguarding of children and young people at risk of harm or neglect. Organisations can hold different pieces of information which need to be placed together to enable a thorough assessment and plan to be made.</w:t>
      </w:r>
    </w:p>
    <w:p w14:paraId="42538620" w14:textId="77777777" w:rsidR="00D81B52" w:rsidRPr="00080145" w:rsidRDefault="00D81B52" w:rsidP="00D81B52">
      <w:pPr>
        <w:pStyle w:val="Body"/>
        <w:rPr>
          <w:color w:val="auto"/>
          <w:lang w:val="en-GB" w:eastAsia="en-GB"/>
        </w:rPr>
      </w:pPr>
      <w:r w:rsidRPr="00080145">
        <w:rPr>
          <w:color w:val="auto"/>
          <w:lang w:val="en-GB" w:eastAsia="en-GB"/>
        </w:rPr>
        <w:t xml:space="preserve">To share information, a lawful basis for doing so must be identified. This may come from legislation or from statutory guidance such as Working Together to Safeguard Children 2018 or the Children Act 2014, which places responsibilities on organisations outside of the Partnership such as sports clubs, private organisations, and the voluntary, community and faith sectors. </w:t>
      </w:r>
    </w:p>
    <w:p w14:paraId="5922E925" w14:textId="76594E3B" w:rsidR="00D81B52" w:rsidRPr="00080145" w:rsidRDefault="00D81B52" w:rsidP="00D81B52">
      <w:pPr>
        <w:pStyle w:val="Body"/>
        <w:rPr>
          <w:i/>
          <w:iCs/>
          <w:lang w:val="en-GB"/>
        </w:rPr>
      </w:pPr>
      <w:r w:rsidRPr="00080145">
        <w:rPr>
          <w:rFonts w:eastAsia="Times New Roman"/>
          <w:color w:val="auto"/>
          <w:lang w:val="en-GB" w:eastAsia="en-GB"/>
        </w:rPr>
        <w:t xml:space="preserve">The sharing of personal data must comply with both the </w:t>
      </w:r>
      <w:hyperlink r:id="rId13" w:history="1">
        <w:r w:rsidRPr="00080145">
          <w:rPr>
            <w:rStyle w:val="Hyperlink"/>
            <w:rFonts w:eastAsia="Times New Roman"/>
            <w:color w:val="auto"/>
            <w:lang w:val="en-GB" w:eastAsia="en-GB"/>
          </w:rPr>
          <w:t>GDPR Principles</w:t>
        </w:r>
      </w:hyperlink>
      <w:r w:rsidRPr="00080145">
        <w:rPr>
          <w:rFonts w:eastAsia="Times New Roman"/>
          <w:color w:val="auto"/>
          <w:lang w:val="en-GB" w:eastAsia="en-GB"/>
        </w:rPr>
        <w:t xml:space="preserve"> and the </w:t>
      </w:r>
      <w:hyperlink r:id="rId14" w:history="1">
        <w:r w:rsidRPr="00080145">
          <w:rPr>
            <w:rStyle w:val="Hyperlink"/>
            <w:rFonts w:eastAsia="Times New Roman"/>
            <w:color w:val="auto"/>
            <w:lang w:val="en-GB" w:eastAsia="en-GB"/>
          </w:rPr>
          <w:t>Caldicott Principles</w:t>
        </w:r>
      </w:hyperlink>
      <w:r w:rsidR="00A52375" w:rsidRPr="00080145">
        <w:rPr>
          <w:rFonts w:eastAsia="Times New Roman"/>
          <w:color w:val="auto"/>
          <w:lang w:val="en-GB" w:eastAsia="en-GB"/>
        </w:rPr>
        <w:t>,</w:t>
      </w:r>
      <w:r w:rsidRPr="00080145">
        <w:rPr>
          <w:rFonts w:eastAsia="Times New Roman"/>
          <w:color w:val="auto"/>
          <w:lang w:val="en-GB" w:eastAsia="en-GB"/>
        </w:rPr>
        <w:t xml:space="preserve"> </w:t>
      </w:r>
      <w:r w:rsidR="00A52375" w:rsidRPr="00080145">
        <w:rPr>
          <w:rFonts w:eastAsia="Times New Roman"/>
          <w:color w:val="auto"/>
          <w:lang w:val="en-GB" w:eastAsia="en-GB"/>
        </w:rPr>
        <w:t xml:space="preserve">listed at Appendix B. </w:t>
      </w:r>
      <w:r w:rsidRPr="00080145">
        <w:rPr>
          <w:lang w:val="en-GB"/>
        </w:rPr>
        <w:t>Together, those principles lead to a series of questions and considerations to be answered before sharing takes place. These are listed as an Information Sharing Checklist in</w:t>
      </w:r>
      <w:r w:rsidR="00CA44FA" w:rsidRPr="00080145">
        <w:rPr>
          <w:lang w:val="en-GB"/>
        </w:rPr>
        <w:t xml:space="preserve"> </w:t>
      </w:r>
      <w:r w:rsidR="00CA44FA" w:rsidRPr="00080145">
        <w:rPr>
          <w:i/>
          <w:iCs/>
          <w:lang w:val="en-GB"/>
        </w:rPr>
        <w:fldChar w:fldCharType="begin"/>
      </w:r>
      <w:r w:rsidR="00CA44FA" w:rsidRPr="00080145">
        <w:rPr>
          <w:i/>
          <w:iCs/>
          <w:lang w:val="en-GB"/>
        </w:rPr>
        <w:instrText xml:space="preserve"> REF _Ref55557551 \h  \* MERGEFORMAT </w:instrText>
      </w:r>
      <w:r w:rsidR="00CA44FA" w:rsidRPr="00080145">
        <w:rPr>
          <w:i/>
          <w:iCs/>
          <w:lang w:val="en-GB"/>
        </w:rPr>
      </w:r>
      <w:r w:rsidR="00CA44FA" w:rsidRPr="00080145">
        <w:rPr>
          <w:i/>
          <w:iCs/>
          <w:lang w:val="en-GB"/>
        </w:rPr>
        <w:fldChar w:fldCharType="separate"/>
      </w:r>
      <w:r w:rsidR="00CA44FA" w:rsidRPr="00080145">
        <w:rPr>
          <w:i/>
          <w:iCs/>
          <w:lang w:val="en-GB"/>
        </w:rPr>
        <w:t>Appendix D: Information Sharing Checklist</w:t>
      </w:r>
      <w:r w:rsidR="00CA44FA" w:rsidRPr="00080145">
        <w:rPr>
          <w:i/>
          <w:iCs/>
          <w:lang w:val="en-GB"/>
        </w:rPr>
        <w:fldChar w:fldCharType="end"/>
      </w:r>
      <w:r w:rsidR="00A52375" w:rsidRPr="00080145">
        <w:rPr>
          <w:i/>
          <w:iCs/>
          <w:lang w:val="en-GB"/>
        </w:rPr>
        <w:t>.</w:t>
      </w:r>
    </w:p>
    <w:p w14:paraId="5D6AF0CC" w14:textId="5F1FF37B" w:rsidR="00D81B52" w:rsidRPr="00080145" w:rsidRDefault="00D81B52" w:rsidP="0001515D">
      <w:pPr>
        <w:rPr>
          <w:color w:val="auto"/>
        </w:rPr>
      </w:pPr>
    </w:p>
    <w:p w14:paraId="414AC9A0" w14:textId="428EFBB7" w:rsidR="000D26D1" w:rsidRPr="00080145" w:rsidRDefault="00CB786D" w:rsidP="00CB786D">
      <w:pPr>
        <w:pStyle w:val="Heading2"/>
        <w:rPr>
          <w:lang w:val="en-GB"/>
        </w:rPr>
      </w:pPr>
      <w:bookmarkStart w:id="31" w:name="_Toc59206187"/>
      <w:r w:rsidRPr="00080145">
        <w:rPr>
          <w:lang w:val="en-GB"/>
        </w:rPr>
        <w:t>Lawful Basis</w:t>
      </w:r>
      <w:bookmarkEnd w:id="31"/>
    </w:p>
    <w:p w14:paraId="7F10D375" w14:textId="64640A7A" w:rsidR="00CB786D" w:rsidRPr="00080145" w:rsidRDefault="00CB786D" w:rsidP="00CB786D">
      <w:pPr>
        <w:pStyle w:val="Body"/>
        <w:rPr>
          <w:color w:val="auto"/>
          <w:lang w:val="en-GB"/>
        </w:rPr>
      </w:pPr>
      <w:r w:rsidRPr="00080145">
        <w:rPr>
          <w:color w:val="auto"/>
          <w:lang w:val="en-GB"/>
        </w:rPr>
        <w:t>The sharing of information must comply with the law relating to confidentiality, data protection and human rights.</w:t>
      </w:r>
      <w:r w:rsidR="000353D9" w:rsidRPr="00080145">
        <w:rPr>
          <w:color w:val="auto"/>
          <w:lang w:val="en-GB"/>
        </w:rPr>
        <w:t xml:space="preserve"> </w:t>
      </w:r>
      <w:r w:rsidRPr="00080145">
        <w:rPr>
          <w:color w:val="auto"/>
          <w:lang w:val="en-GB"/>
        </w:rPr>
        <w:t>Having a legitimate purpose for sharing information is an important part of mee</w:t>
      </w:r>
      <w:r w:rsidR="000353D9" w:rsidRPr="00080145">
        <w:rPr>
          <w:color w:val="auto"/>
          <w:lang w:val="en-GB"/>
        </w:rPr>
        <w:t>ting those legal requirements.</w:t>
      </w:r>
      <w:r w:rsidRPr="00080145">
        <w:rPr>
          <w:color w:val="auto"/>
          <w:lang w:val="en-GB"/>
        </w:rPr>
        <w:t xml:space="preserve"> This is a complex area and each Partner must take their own decisions and seek </w:t>
      </w:r>
      <w:r w:rsidRPr="00080145">
        <w:rPr>
          <w:color w:val="auto"/>
          <w:lang w:val="en-GB"/>
        </w:rPr>
        <w:lastRenderedPageBreak/>
        <w:t xml:space="preserve">advice from their organisation’s Data Protection Officer/Information Governance Manager and/or Caldicott Guardian. </w:t>
      </w:r>
    </w:p>
    <w:p w14:paraId="438D2345" w14:textId="77777777" w:rsidR="00CB786D" w:rsidRPr="00080145" w:rsidRDefault="00CB786D" w:rsidP="00CB786D">
      <w:pPr>
        <w:pStyle w:val="Body"/>
        <w:rPr>
          <w:rFonts w:ascii="Segoe UI" w:hAnsi="Segoe UI" w:cs="Segoe UI"/>
          <w:color w:val="auto"/>
          <w:sz w:val="20"/>
          <w:lang w:val="en-GB"/>
        </w:rPr>
      </w:pPr>
    </w:p>
    <w:p w14:paraId="60543D48" w14:textId="3C4E6415" w:rsidR="00483987" w:rsidRPr="00080145" w:rsidRDefault="0082753E" w:rsidP="00D81B52">
      <w:pPr>
        <w:pStyle w:val="Body"/>
        <w:rPr>
          <w:lang w:val="en-GB"/>
        </w:rPr>
      </w:pPr>
      <w:r w:rsidRPr="00080145">
        <w:rPr>
          <w:b/>
          <w:bCs/>
          <w:lang w:val="en-GB"/>
        </w:rPr>
        <w:t xml:space="preserve">For purposes other than law enforcement by competent </w:t>
      </w:r>
      <w:r w:rsidR="00A64644" w:rsidRPr="00080145">
        <w:rPr>
          <w:b/>
          <w:bCs/>
          <w:lang w:val="en-GB"/>
        </w:rPr>
        <w:t>authorities</w:t>
      </w:r>
    </w:p>
    <w:p w14:paraId="188ED9F9" w14:textId="42E1E8BF" w:rsidR="00CB786D" w:rsidRPr="00080145" w:rsidRDefault="00A63283" w:rsidP="00D81B52">
      <w:pPr>
        <w:pStyle w:val="Body"/>
        <w:rPr>
          <w:color w:val="auto"/>
          <w:lang w:val="en-GB"/>
        </w:rPr>
      </w:pPr>
      <w:r w:rsidRPr="00080145">
        <w:rPr>
          <w:lang w:val="en-GB"/>
        </w:rPr>
        <w:t>A</w:t>
      </w:r>
      <w:r w:rsidR="000353D9" w:rsidRPr="00080145">
        <w:rPr>
          <w:lang w:val="en-GB"/>
        </w:rPr>
        <w:t>rticle</w:t>
      </w:r>
      <w:r w:rsidR="00BA50B1" w:rsidRPr="00080145">
        <w:rPr>
          <w:lang w:val="en-GB"/>
        </w:rPr>
        <w:t>s</w:t>
      </w:r>
      <w:r w:rsidR="000353D9" w:rsidRPr="00080145">
        <w:rPr>
          <w:lang w:val="en-GB"/>
        </w:rPr>
        <w:t xml:space="preserve"> 6</w:t>
      </w:r>
      <w:r w:rsidR="00BA50B1" w:rsidRPr="00080145">
        <w:rPr>
          <w:lang w:val="en-GB"/>
        </w:rPr>
        <w:t>,</w:t>
      </w:r>
      <w:r w:rsidR="000353D9" w:rsidRPr="00080145">
        <w:rPr>
          <w:lang w:val="en-GB"/>
        </w:rPr>
        <w:t xml:space="preserve"> 9 </w:t>
      </w:r>
      <w:r w:rsidR="00BA50B1" w:rsidRPr="00080145">
        <w:rPr>
          <w:lang w:val="en-GB"/>
        </w:rPr>
        <w:t xml:space="preserve">and 10 </w:t>
      </w:r>
      <w:r w:rsidR="000353D9" w:rsidRPr="00080145">
        <w:rPr>
          <w:lang w:val="en-GB"/>
        </w:rPr>
        <w:t xml:space="preserve">of the </w:t>
      </w:r>
      <w:r w:rsidR="005023B1" w:rsidRPr="00080145">
        <w:rPr>
          <w:lang w:val="en-GB"/>
        </w:rPr>
        <w:t>UK</w:t>
      </w:r>
      <w:r w:rsidR="00A47775" w:rsidRPr="00080145">
        <w:rPr>
          <w:lang w:val="en-GB"/>
        </w:rPr>
        <w:t xml:space="preserve"> </w:t>
      </w:r>
      <w:r w:rsidR="000353D9" w:rsidRPr="00080145">
        <w:rPr>
          <w:lang w:val="en-GB"/>
        </w:rPr>
        <w:t>GDPR,</w:t>
      </w:r>
      <w:r w:rsidR="008B6391" w:rsidRPr="00080145">
        <w:rPr>
          <w:lang w:val="en-GB"/>
        </w:rPr>
        <w:t xml:space="preserve"> and </w:t>
      </w:r>
      <w:r w:rsidRPr="00080145">
        <w:rPr>
          <w:lang w:val="en-GB"/>
        </w:rPr>
        <w:t>section 8</w:t>
      </w:r>
      <w:r w:rsidR="000353D9" w:rsidRPr="00080145">
        <w:rPr>
          <w:lang w:val="en-GB"/>
        </w:rPr>
        <w:t xml:space="preserve"> of the DPA</w:t>
      </w:r>
      <w:r w:rsidR="006125D0" w:rsidRPr="00080145">
        <w:rPr>
          <w:lang w:val="en-GB"/>
        </w:rPr>
        <w:t xml:space="preserve"> </w:t>
      </w:r>
      <w:r w:rsidR="000353D9" w:rsidRPr="00080145">
        <w:rPr>
          <w:lang w:val="en-GB"/>
        </w:rPr>
        <w:t>2018 set out the acceptable conditions for the processing and sharing of personal, special category, and criminal data.</w:t>
      </w:r>
      <w:r w:rsidR="00D81B52" w:rsidRPr="00080145">
        <w:rPr>
          <w:lang w:val="en-GB"/>
        </w:rPr>
        <w:t xml:space="preserve"> </w:t>
      </w:r>
      <w:r w:rsidR="000353D9" w:rsidRPr="00080145">
        <w:rPr>
          <w:color w:val="auto"/>
          <w:lang w:val="en-GB"/>
        </w:rPr>
        <w:t xml:space="preserve">The conditions relevant </w:t>
      </w:r>
      <w:r w:rsidR="006F0E33" w:rsidRPr="00080145">
        <w:rPr>
          <w:color w:val="auto"/>
          <w:lang w:val="en-GB"/>
        </w:rPr>
        <w:t xml:space="preserve">in the UK GDPR </w:t>
      </w:r>
      <w:r w:rsidR="000353D9" w:rsidRPr="00080145">
        <w:rPr>
          <w:color w:val="auto"/>
          <w:lang w:val="en-GB"/>
        </w:rPr>
        <w:t>to data processed under this agreement are below.</w:t>
      </w:r>
    </w:p>
    <w:p w14:paraId="6FAAD29B" w14:textId="77777777" w:rsidR="000B0EF0" w:rsidRPr="00080145" w:rsidRDefault="000B0EF0" w:rsidP="00D81B52">
      <w:pPr>
        <w:pStyle w:val="Body"/>
        <w:rPr>
          <w:color w:val="auto"/>
          <w:lang w:val="en-GB"/>
        </w:rPr>
      </w:pPr>
    </w:p>
    <w:tbl>
      <w:tblPr>
        <w:tblStyle w:val="TableGrid"/>
        <w:tblW w:w="10768" w:type="dxa"/>
        <w:tblLook w:val="04A0" w:firstRow="1" w:lastRow="0" w:firstColumn="1" w:lastColumn="0" w:noHBand="0" w:noVBand="1"/>
      </w:tblPr>
      <w:tblGrid>
        <w:gridCol w:w="10768"/>
      </w:tblGrid>
      <w:tr w:rsidR="000B0EF0" w:rsidRPr="00080145" w14:paraId="1ACECC5C" w14:textId="77777777" w:rsidTr="000B0EF0">
        <w:trPr>
          <w:cantSplit/>
          <w:tblHeader/>
        </w:trPr>
        <w:tc>
          <w:tcPr>
            <w:tcW w:w="10768" w:type="dxa"/>
            <w:shd w:val="clear" w:color="auto" w:fill="008080"/>
          </w:tcPr>
          <w:p w14:paraId="64AE179D" w14:textId="77777777" w:rsidR="000B0EF0" w:rsidRPr="00080145" w:rsidRDefault="000B0EF0" w:rsidP="00DC10A0">
            <w:pPr>
              <w:pStyle w:val="BodyTableheaderBase"/>
              <w:rPr>
                <w:rFonts w:ascii="Segoe UI" w:hAnsi="Segoe UI" w:cs="Segoe UI"/>
                <w:color w:val="auto"/>
                <w:sz w:val="20"/>
                <w:lang w:val="en-GB"/>
              </w:rPr>
            </w:pPr>
            <w:r w:rsidRPr="00080145">
              <w:rPr>
                <w:rFonts w:ascii="Segoe UI" w:hAnsi="Segoe UI" w:cs="Segoe UI"/>
                <w:color w:val="auto"/>
                <w:sz w:val="20"/>
                <w:lang w:val="en-GB"/>
              </w:rPr>
              <w:t>Article 6 (1) – Personal Data Processing</w:t>
            </w:r>
          </w:p>
        </w:tc>
      </w:tr>
      <w:tr w:rsidR="000B0EF0" w:rsidRPr="00080145" w14:paraId="4BB5D4CF" w14:textId="77777777" w:rsidTr="000B0EF0">
        <w:trPr>
          <w:cantSplit/>
        </w:trPr>
        <w:tc>
          <w:tcPr>
            <w:tcW w:w="10768" w:type="dxa"/>
          </w:tcPr>
          <w:p w14:paraId="0A82A2F1" w14:textId="77777777" w:rsidR="000B0EF0" w:rsidRPr="00080145" w:rsidRDefault="000B0EF0" w:rsidP="00DC10A0">
            <w:pPr>
              <w:pStyle w:val="Body"/>
              <w:rPr>
                <w:rFonts w:ascii="Segoe UI" w:hAnsi="Segoe UI" w:cs="Segoe UI"/>
                <w:color w:val="auto"/>
                <w:sz w:val="20"/>
                <w:lang w:val="en-GB"/>
              </w:rPr>
            </w:pPr>
            <w:r w:rsidRPr="00080145">
              <w:rPr>
                <w:rFonts w:ascii="Segoe UI" w:hAnsi="Segoe UI" w:cs="Segoe UI"/>
                <w:color w:val="auto"/>
                <w:sz w:val="20"/>
                <w:lang w:val="en-GB"/>
              </w:rPr>
              <w:t xml:space="preserve">(c) processing is necessary for compliance with a </w:t>
            </w:r>
            <w:r w:rsidRPr="00080145">
              <w:rPr>
                <w:rFonts w:ascii="Segoe UI" w:hAnsi="Segoe UI" w:cs="Segoe UI"/>
                <w:b/>
                <w:color w:val="auto"/>
                <w:sz w:val="20"/>
                <w:lang w:val="en-GB"/>
              </w:rPr>
              <w:t>legal obligation</w:t>
            </w:r>
            <w:r w:rsidRPr="00080145">
              <w:rPr>
                <w:rFonts w:ascii="Segoe UI" w:hAnsi="Segoe UI" w:cs="Segoe UI"/>
                <w:color w:val="auto"/>
                <w:sz w:val="20"/>
                <w:lang w:val="en-GB"/>
              </w:rPr>
              <w:t xml:space="preserve"> to which the controller is subject</w:t>
            </w:r>
          </w:p>
        </w:tc>
      </w:tr>
      <w:tr w:rsidR="000B0EF0" w:rsidRPr="00080145" w14:paraId="38676F66" w14:textId="77777777" w:rsidTr="000B0EF0">
        <w:trPr>
          <w:cantSplit/>
        </w:trPr>
        <w:tc>
          <w:tcPr>
            <w:tcW w:w="10768" w:type="dxa"/>
          </w:tcPr>
          <w:p w14:paraId="19B1E344" w14:textId="77777777" w:rsidR="000B0EF0" w:rsidRPr="00080145" w:rsidRDefault="000B0EF0" w:rsidP="00DC10A0">
            <w:pPr>
              <w:pStyle w:val="Body"/>
              <w:rPr>
                <w:rFonts w:ascii="Segoe UI" w:hAnsi="Segoe UI" w:cs="Segoe UI"/>
                <w:color w:val="auto"/>
                <w:sz w:val="20"/>
                <w:lang w:val="en-GB"/>
              </w:rPr>
            </w:pPr>
            <w:r w:rsidRPr="00080145">
              <w:rPr>
                <w:rFonts w:ascii="Segoe UI" w:hAnsi="Segoe UI" w:cs="Segoe UI"/>
                <w:b/>
                <w:color w:val="auto"/>
                <w:sz w:val="20"/>
                <w:lang w:val="en-GB"/>
              </w:rPr>
              <w:t xml:space="preserve">(d) </w:t>
            </w:r>
            <w:r w:rsidRPr="00080145">
              <w:rPr>
                <w:rFonts w:ascii="Segoe UI" w:hAnsi="Segoe UI" w:cs="Segoe UI"/>
                <w:color w:val="auto"/>
                <w:sz w:val="20"/>
                <w:lang w:val="en-GB"/>
              </w:rPr>
              <w:t xml:space="preserve">processing is necessary in order to protect the </w:t>
            </w:r>
            <w:r w:rsidRPr="00080145">
              <w:rPr>
                <w:rFonts w:ascii="Segoe UI" w:hAnsi="Segoe UI" w:cs="Segoe UI"/>
                <w:b/>
                <w:color w:val="auto"/>
                <w:sz w:val="20"/>
                <w:lang w:val="en-GB"/>
              </w:rPr>
              <w:t xml:space="preserve">vital interests </w:t>
            </w:r>
            <w:r w:rsidRPr="00080145">
              <w:rPr>
                <w:rFonts w:ascii="Segoe UI" w:hAnsi="Segoe UI" w:cs="Segoe UI"/>
                <w:color w:val="auto"/>
                <w:sz w:val="20"/>
                <w:lang w:val="en-GB"/>
              </w:rPr>
              <w:t>of the data subject or of another natural person;</w:t>
            </w:r>
          </w:p>
        </w:tc>
      </w:tr>
      <w:tr w:rsidR="000B0EF0" w:rsidRPr="00080145" w14:paraId="0BABEA99" w14:textId="77777777" w:rsidTr="000B0EF0">
        <w:trPr>
          <w:cantSplit/>
        </w:trPr>
        <w:tc>
          <w:tcPr>
            <w:tcW w:w="10768" w:type="dxa"/>
          </w:tcPr>
          <w:p w14:paraId="73296B67" w14:textId="77777777" w:rsidR="000B0EF0" w:rsidRPr="00080145" w:rsidRDefault="000B0EF0" w:rsidP="00DC10A0">
            <w:pPr>
              <w:pStyle w:val="Body"/>
              <w:rPr>
                <w:rFonts w:ascii="Segoe UI" w:hAnsi="Segoe UI" w:cs="Segoe UI"/>
                <w:color w:val="auto"/>
                <w:sz w:val="20"/>
                <w:szCs w:val="24"/>
                <w:lang w:val="en-GB"/>
              </w:rPr>
            </w:pPr>
            <w:r w:rsidRPr="00080145">
              <w:rPr>
                <w:rFonts w:ascii="Segoe UI" w:hAnsi="Segoe UI" w:cs="Segoe UI"/>
                <w:color w:val="auto"/>
                <w:sz w:val="20"/>
                <w:szCs w:val="24"/>
                <w:lang w:val="en-GB"/>
              </w:rPr>
              <w:t xml:space="preserve">(e) processing is necessary for the performance of a task carried out in the </w:t>
            </w:r>
            <w:r w:rsidRPr="00080145">
              <w:rPr>
                <w:rFonts w:ascii="Segoe UI" w:hAnsi="Segoe UI" w:cs="Segoe UI"/>
                <w:b/>
                <w:color w:val="auto"/>
                <w:sz w:val="20"/>
                <w:szCs w:val="24"/>
                <w:lang w:val="en-GB"/>
              </w:rPr>
              <w:t>public interest</w:t>
            </w:r>
            <w:r w:rsidRPr="00080145">
              <w:rPr>
                <w:rFonts w:ascii="Segoe UI" w:hAnsi="Segoe UI" w:cs="Segoe UI"/>
                <w:color w:val="auto"/>
                <w:sz w:val="20"/>
                <w:szCs w:val="24"/>
                <w:lang w:val="en-GB"/>
              </w:rPr>
              <w:t xml:space="preserve"> or in the exercise of official authority vested in the controller</w:t>
            </w:r>
          </w:p>
          <w:p w14:paraId="170A35F9" w14:textId="77777777" w:rsidR="000B0EF0" w:rsidRPr="00080145" w:rsidRDefault="000B0EF0" w:rsidP="00DC10A0">
            <w:pPr>
              <w:pStyle w:val="Body"/>
              <w:rPr>
                <w:rFonts w:ascii="Segoe UI" w:hAnsi="Segoe UI" w:cs="Segoe UI"/>
                <w:color w:val="auto"/>
                <w:sz w:val="20"/>
                <w:lang w:val="en-GB"/>
              </w:rPr>
            </w:pPr>
            <w:r w:rsidRPr="00080145">
              <w:rPr>
                <w:rFonts w:ascii="Segoe UI" w:hAnsi="Segoe UI" w:cs="Segoe UI"/>
                <w:color w:val="auto"/>
                <w:sz w:val="20"/>
                <w:lang w:val="en-GB"/>
              </w:rPr>
              <w:t xml:space="preserve">Use of this article requires that the Data Protection Act section 8 be satisfied. The laws given at </w:t>
            </w:r>
            <w:r w:rsidRPr="00080145">
              <w:rPr>
                <w:rFonts w:ascii="Segoe UI" w:hAnsi="Segoe UI" w:cs="Segoe UI"/>
                <w:i/>
                <w:iCs/>
                <w:color w:val="auto"/>
                <w:sz w:val="20"/>
                <w:szCs w:val="20"/>
                <w:lang w:val="en-GB"/>
              </w:rPr>
              <w:fldChar w:fldCharType="begin"/>
            </w:r>
            <w:r w:rsidRPr="00080145">
              <w:rPr>
                <w:rFonts w:ascii="Segoe UI" w:hAnsi="Segoe UI" w:cs="Segoe UI"/>
                <w:i/>
                <w:iCs/>
                <w:color w:val="auto"/>
                <w:sz w:val="20"/>
                <w:szCs w:val="20"/>
                <w:lang w:val="en-GB"/>
              </w:rPr>
              <w:instrText xml:space="preserve"> REF _Ref55555047 \h  \* MERGEFORMAT </w:instrText>
            </w:r>
            <w:r w:rsidRPr="00080145">
              <w:rPr>
                <w:rFonts w:ascii="Segoe UI" w:hAnsi="Segoe UI" w:cs="Segoe UI"/>
                <w:i/>
                <w:iCs/>
                <w:color w:val="auto"/>
                <w:sz w:val="20"/>
                <w:szCs w:val="20"/>
                <w:lang w:val="en-GB"/>
              </w:rPr>
            </w:r>
            <w:r w:rsidRPr="00080145">
              <w:rPr>
                <w:rFonts w:ascii="Segoe UI" w:hAnsi="Segoe UI" w:cs="Segoe UI"/>
                <w:i/>
                <w:iCs/>
                <w:color w:val="auto"/>
                <w:sz w:val="20"/>
                <w:szCs w:val="20"/>
                <w:lang w:val="en-GB"/>
              </w:rPr>
              <w:fldChar w:fldCharType="separate"/>
            </w:r>
            <w:r w:rsidRPr="00080145">
              <w:rPr>
                <w:rFonts w:ascii="Segoe UI" w:hAnsi="Segoe UI" w:cs="Segoe UI"/>
                <w:i/>
                <w:iCs/>
                <w:sz w:val="20"/>
                <w:szCs w:val="20"/>
                <w:lang w:val="en-GB"/>
              </w:rPr>
              <w:t>Appendix C – Applicable legislation</w:t>
            </w:r>
            <w:r w:rsidRPr="00080145">
              <w:rPr>
                <w:rFonts w:ascii="Segoe UI" w:hAnsi="Segoe UI" w:cs="Segoe UI"/>
                <w:i/>
                <w:iCs/>
                <w:color w:val="auto"/>
                <w:sz w:val="20"/>
                <w:szCs w:val="20"/>
                <w:lang w:val="en-GB"/>
              </w:rPr>
              <w:fldChar w:fldCharType="end"/>
            </w:r>
            <w:r w:rsidRPr="00080145">
              <w:rPr>
                <w:rFonts w:ascii="Segoe UI" w:hAnsi="Segoe UI" w:cs="Segoe UI"/>
                <w:color w:val="auto"/>
                <w:sz w:val="20"/>
                <w:szCs w:val="20"/>
                <w:lang w:val="en-GB"/>
              </w:rPr>
              <w:t xml:space="preserve"> provide for each party a legal basis under section 8 – the specifics are noted in the appendix.</w:t>
            </w:r>
          </w:p>
        </w:tc>
      </w:tr>
    </w:tbl>
    <w:p w14:paraId="2ABB0B52" w14:textId="77777777" w:rsidR="000B0EF0" w:rsidRPr="00080145" w:rsidRDefault="000B0EF0" w:rsidP="00D81B52">
      <w:pPr>
        <w:pStyle w:val="Body"/>
        <w:rPr>
          <w:color w:val="auto"/>
          <w:lang w:val="en-GB"/>
        </w:rPr>
      </w:pPr>
    </w:p>
    <w:p w14:paraId="489F83AC" w14:textId="77777777" w:rsidR="00F85337" w:rsidRPr="00080145" w:rsidRDefault="00F85337" w:rsidP="00CB786D">
      <w:pPr>
        <w:pStyle w:val="Body"/>
        <w:rPr>
          <w:color w:val="auto"/>
          <w:lang w:val="en-GB"/>
        </w:rPr>
      </w:pPr>
    </w:p>
    <w:tbl>
      <w:tblPr>
        <w:tblStyle w:val="TableGrid"/>
        <w:tblW w:w="10768" w:type="dxa"/>
        <w:tblLook w:val="04A0" w:firstRow="1" w:lastRow="0" w:firstColumn="1" w:lastColumn="0" w:noHBand="0" w:noVBand="1"/>
      </w:tblPr>
      <w:tblGrid>
        <w:gridCol w:w="10768"/>
      </w:tblGrid>
      <w:tr w:rsidR="000B0EF0" w:rsidRPr="00080145" w14:paraId="6711F2D1" w14:textId="77777777" w:rsidTr="000B0EF0">
        <w:trPr>
          <w:cantSplit/>
          <w:tblHeader/>
        </w:trPr>
        <w:tc>
          <w:tcPr>
            <w:tcW w:w="10768" w:type="dxa"/>
            <w:shd w:val="clear" w:color="auto" w:fill="008080"/>
          </w:tcPr>
          <w:p w14:paraId="55E90281" w14:textId="249BF818" w:rsidR="000B0EF0" w:rsidRPr="00080145" w:rsidRDefault="000B0EF0" w:rsidP="00CF1036">
            <w:pPr>
              <w:pStyle w:val="BodyTableheaderBase"/>
              <w:rPr>
                <w:rFonts w:ascii="Segoe UI" w:hAnsi="Segoe UI" w:cs="Segoe UI"/>
                <w:color w:val="auto"/>
                <w:sz w:val="20"/>
                <w:lang w:val="en-GB"/>
              </w:rPr>
            </w:pPr>
            <w:r w:rsidRPr="00080145">
              <w:rPr>
                <w:rFonts w:ascii="Segoe UI" w:hAnsi="Segoe UI" w:cs="Segoe UI"/>
                <w:color w:val="auto"/>
                <w:sz w:val="20"/>
                <w:lang w:val="en-GB"/>
              </w:rPr>
              <w:t>Article 9 (2) – Special Category Personal Data Processing</w:t>
            </w:r>
          </w:p>
        </w:tc>
      </w:tr>
      <w:tr w:rsidR="000B0EF0" w:rsidRPr="00080145" w14:paraId="50EDB27D" w14:textId="77777777" w:rsidTr="000B0EF0">
        <w:trPr>
          <w:cantSplit/>
        </w:trPr>
        <w:tc>
          <w:tcPr>
            <w:tcW w:w="10768" w:type="dxa"/>
          </w:tcPr>
          <w:p w14:paraId="451EFD71" w14:textId="3B0A90FE" w:rsidR="000B0EF0" w:rsidRPr="00080145" w:rsidRDefault="000B0EF0" w:rsidP="00CF1036">
            <w:pPr>
              <w:rPr>
                <w:rFonts w:ascii="Segoe UI" w:hAnsi="Segoe UI" w:cs="Segoe UI"/>
                <w:color w:val="auto"/>
                <w:sz w:val="20"/>
              </w:rPr>
            </w:pPr>
            <w:r w:rsidRPr="00080145">
              <w:rPr>
                <w:rFonts w:ascii="Segoe UI" w:hAnsi="Segoe UI" w:cs="Segoe UI"/>
                <w:color w:val="auto"/>
                <w:sz w:val="20"/>
              </w:rPr>
              <w:t>(b)</w:t>
            </w:r>
            <w:r w:rsidRPr="00080145">
              <w:rPr>
                <w:rFonts w:ascii="Segoe UI" w:hAnsi="Segoe UI" w:cs="Segoe UI"/>
                <w:b/>
                <w:color w:val="auto"/>
                <w:sz w:val="20"/>
              </w:rPr>
              <w:t xml:space="preserve"> social protection law</w:t>
            </w:r>
            <w:r w:rsidRPr="00080145">
              <w:rPr>
                <w:rFonts w:ascii="Segoe UI" w:hAnsi="Segoe UI" w:cs="Segoe UI"/>
                <w:color w:val="auto"/>
                <w:sz w:val="20"/>
              </w:rPr>
              <w:t xml:space="preserve"> - processing is necessary for the purposes of carrying out the obligations and exercising specific rights of the controller or of the data subject in the field of employment and social security and social protection law</w:t>
            </w:r>
            <w:r w:rsidRPr="00080145">
              <w:rPr>
                <w:rFonts w:ascii="Segoe UI" w:hAnsi="Segoe UI" w:cs="Segoe UI"/>
                <w:b/>
                <w:color w:val="auto"/>
                <w:sz w:val="20"/>
              </w:rPr>
              <w:t xml:space="preserve"> </w:t>
            </w:r>
            <w:r w:rsidRPr="00080145">
              <w:rPr>
                <w:rFonts w:ascii="Segoe UI" w:hAnsi="Segoe UI" w:cs="Segoe UI"/>
                <w:color w:val="auto"/>
                <w:sz w:val="20"/>
              </w:rPr>
              <w:t>in so far as it is authorised by Union or Member State law or a collective agreement pursuant to Member State law providing for appropriate safeguards for the fundamental rights and the interests of the data subject;</w:t>
            </w:r>
          </w:p>
        </w:tc>
      </w:tr>
      <w:tr w:rsidR="000B0EF0" w:rsidRPr="00080145" w14:paraId="34133C24" w14:textId="77777777" w:rsidTr="000B0EF0">
        <w:trPr>
          <w:cantSplit/>
        </w:trPr>
        <w:tc>
          <w:tcPr>
            <w:tcW w:w="10768" w:type="dxa"/>
          </w:tcPr>
          <w:p w14:paraId="448B6E4C" w14:textId="1FFE6319" w:rsidR="000B0EF0" w:rsidRPr="00080145" w:rsidRDefault="000B0EF0" w:rsidP="00CF1036">
            <w:pPr>
              <w:rPr>
                <w:rFonts w:ascii="Segoe UI" w:hAnsi="Segoe UI" w:cs="Segoe UI"/>
                <w:color w:val="auto"/>
                <w:sz w:val="20"/>
              </w:rPr>
            </w:pPr>
            <w:r w:rsidRPr="00080145">
              <w:rPr>
                <w:rFonts w:ascii="Segoe UI" w:hAnsi="Segoe UI" w:cs="Segoe UI"/>
                <w:bCs/>
                <w:color w:val="auto"/>
                <w:sz w:val="20"/>
              </w:rPr>
              <w:t>(c)</w:t>
            </w:r>
            <w:r w:rsidRPr="00080145">
              <w:rPr>
                <w:rFonts w:ascii="Segoe UI" w:hAnsi="Segoe UI" w:cs="Segoe UI"/>
                <w:b/>
                <w:color w:val="auto"/>
                <w:sz w:val="20"/>
              </w:rPr>
              <w:t xml:space="preserve"> </w:t>
            </w:r>
            <w:r w:rsidRPr="00080145">
              <w:rPr>
                <w:rFonts w:ascii="Segoe UI" w:hAnsi="Segoe UI" w:cs="Segoe UI"/>
                <w:color w:val="auto"/>
                <w:sz w:val="20"/>
              </w:rPr>
              <w:t xml:space="preserve">processing is necessary to protect the </w:t>
            </w:r>
            <w:r w:rsidRPr="00080145">
              <w:rPr>
                <w:rFonts w:ascii="Segoe UI" w:hAnsi="Segoe UI" w:cs="Segoe UI"/>
                <w:b/>
                <w:color w:val="auto"/>
                <w:sz w:val="20"/>
              </w:rPr>
              <w:t>vital interests</w:t>
            </w:r>
            <w:r w:rsidRPr="00080145">
              <w:rPr>
                <w:rFonts w:ascii="Segoe UI" w:hAnsi="Segoe UI" w:cs="Segoe UI"/>
                <w:color w:val="auto"/>
                <w:sz w:val="20"/>
              </w:rPr>
              <w:t xml:space="preserve"> of the data subject or of another natural person where the data subject is physically or legally incapable of giving consent;</w:t>
            </w:r>
          </w:p>
        </w:tc>
      </w:tr>
      <w:tr w:rsidR="000B0EF0" w:rsidRPr="00080145" w14:paraId="5E384522" w14:textId="77777777" w:rsidTr="000B0EF0">
        <w:trPr>
          <w:cantSplit/>
        </w:trPr>
        <w:tc>
          <w:tcPr>
            <w:tcW w:w="10768" w:type="dxa"/>
          </w:tcPr>
          <w:p w14:paraId="62C27220" w14:textId="77777777" w:rsidR="000B0EF0" w:rsidRPr="00080145" w:rsidRDefault="000B0EF0" w:rsidP="00BA50B1">
            <w:pPr>
              <w:rPr>
                <w:rFonts w:ascii="Segoe UI" w:eastAsia="Times New Roman" w:hAnsi="Segoe UI" w:cs="Segoe UI"/>
                <w:color w:val="auto"/>
                <w:sz w:val="20"/>
                <w:szCs w:val="20"/>
                <w:lang w:eastAsia="en-GB"/>
              </w:rPr>
            </w:pPr>
            <w:r w:rsidRPr="00080145">
              <w:rPr>
                <w:rFonts w:ascii="Segoe UI" w:eastAsia="Times New Roman" w:hAnsi="Segoe UI" w:cs="Segoe UI"/>
                <w:color w:val="auto"/>
                <w:sz w:val="20"/>
                <w:szCs w:val="20"/>
                <w:lang w:eastAsia="en-GB"/>
              </w:rPr>
              <w:t>(g)</w:t>
            </w:r>
            <w:r w:rsidRPr="00080145">
              <w:rPr>
                <w:rFonts w:ascii="Segoe UI" w:eastAsia="Times New Roman" w:hAnsi="Segoe UI" w:cs="Segoe UI"/>
                <w:b/>
                <w:color w:val="auto"/>
                <w:sz w:val="20"/>
                <w:szCs w:val="20"/>
                <w:lang w:eastAsia="en-GB"/>
              </w:rPr>
              <w:t xml:space="preserve"> substantial public interest</w:t>
            </w:r>
            <w:r w:rsidRPr="00080145">
              <w:rPr>
                <w:rFonts w:ascii="Segoe UI" w:eastAsia="Times New Roman" w:hAnsi="Segoe UI" w:cs="Segoe UI"/>
                <w:color w:val="auto"/>
                <w:sz w:val="20"/>
                <w:szCs w:val="20"/>
                <w:lang w:eastAsia="en-GB"/>
              </w:rPr>
              <w:t xml:space="preserve"> -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34E3B529" w14:textId="4937A4E3" w:rsidR="000B0EF0" w:rsidRPr="00080145" w:rsidRDefault="000B0EF0" w:rsidP="001775BB">
            <w:pPr>
              <w:pStyle w:val="Body"/>
              <w:rPr>
                <w:rFonts w:ascii="Segoe UI" w:hAnsi="Segoe UI" w:cs="Segoe UI"/>
                <w:sz w:val="20"/>
                <w:szCs w:val="20"/>
                <w:lang w:val="en-GB"/>
              </w:rPr>
            </w:pPr>
            <w:r w:rsidRPr="00080145">
              <w:rPr>
                <w:rFonts w:ascii="Segoe UI" w:hAnsi="Segoe UI" w:cs="Segoe UI"/>
                <w:sz w:val="20"/>
                <w:szCs w:val="20"/>
                <w:lang w:val="en-GB"/>
              </w:rPr>
              <w:t>Use of this article requires that the Data Protection Act Section 10</w:t>
            </w:r>
            <w:r w:rsidR="00285588" w:rsidRPr="00080145">
              <w:rPr>
                <w:rFonts w:ascii="Segoe UI" w:hAnsi="Segoe UI" w:cs="Segoe UI"/>
                <w:sz w:val="20"/>
                <w:szCs w:val="20"/>
                <w:lang w:val="en-GB"/>
              </w:rPr>
              <w:t>(</w:t>
            </w:r>
            <w:r w:rsidR="00B54229" w:rsidRPr="00080145">
              <w:rPr>
                <w:rFonts w:ascii="Segoe UI" w:hAnsi="Segoe UI" w:cs="Segoe UI"/>
                <w:sz w:val="20"/>
                <w:szCs w:val="20"/>
                <w:lang w:val="en-GB"/>
              </w:rPr>
              <w:t>3</w:t>
            </w:r>
            <w:r w:rsidR="00285588" w:rsidRPr="00080145">
              <w:rPr>
                <w:rFonts w:ascii="Segoe UI" w:hAnsi="Segoe UI" w:cs="Segoe UI"/>
                <w:sz w:val="20"/>
                <w:szCs w:val="20"/>
                <w:lang w:val="en-GB"/>
              </w:rPr>
              <w:t>)</w:t>
            </w:r>
            <w:r w:rsidRPr="00080145">
              <w:rPr>
                <w:rFonts w:ascii="Segoe UI" w:hAnsi="Segoe UI" w:cs="Segoe UI"/>
                <w:sz w:val="20"/>
                <w:szCs w:val="20"/>
                <w:lang w:val="en-GB"/>
              </w:rPr>
              <w:t xml:space="preserve"> be satisfied. This requires that a condition within Schedule 1, Part 2 is met. For this agreement these are: </w:t>
            </w:r>
          </w:p>
          <w:p w14:paraId="1EA9C056" w14:textId="6AE610AE" w:rsidR="000B0EF0" w:rsidRPr="00080145" w:rsidRDefault="000B0EF0" w:rsidP="00E4034E">
            <w:pPr>
              <w:pStyle w:val="Body"/>
              <w:numPr>
                <w:ilvl w:val="0"/>
                <w:numId w:val="12"/>
              </w:numPr>
              <w:rPr>
                <w:rFonts w:ascii="Segoe UI" w:hAnsi="Segoe UI" w:cs="Segoe UI"/>
                <w:i/>
                <w:iCs/>
                <w:sz w:val="20"/>
                <w:szCs w:val="20"/>
                <w:lang w:val="en-GB" w:eastAsia="en-GB"/>
              </w:rPr>
            </w:pPr>
            <w:r w:rsidRPr="00080145">
              <w:rPr>
                <w:rFonts w:ascii="Segoe UI" w:hAnsi="Segoe UI" w:cs="Segoe UI"/>
                <w:i/>
                <w:iCs/>
                <w:sz w:val="20"/>
                <w:szCs w:val="20"/>
                <w:lang w:val="en-GB" w:eastAsia="en-GB"/>
              </w:rPr>
              <w:t>Statutory etc., and government purposes under Para 6(1)(2)</w:t>
            </w:r>
          </w:p>
          <w:p w14:paraId="71445FEE" w14:textId="77777777" w:rsidR="000B0EF0" w:rsidRPr="00080145" w:rsidRDefault="000B0EF0" w:rsidP="00E4034E">
            <w:pPr>
              <w:pStyle w:val="Body"/>
              <w:numPr>
                <w:ilvl w:val="0"/>
                <w:numId w:val="12"/>
              </w:numPr>
              <w:rPr>
                <w:rFonts w:ascii="Segoe UI" w:hAnsi="Segoe UI" w:cs="Segoe UI"/>
                <w:sz w:val="20"/>
                <w:szCs w:val="20"/>
                <w:lang w:val="en-GB"/>
              </w:rPr>
            </w:pPr>
            <w:r w:rsidRPr="00080145">
              <w:rPr>
                <w:rFonts w:ascii="Segoe UI" w:hAnsi="Segoe UI" w:cs="Segoe UI"/>
                <w:i/>
                <w:iCs/>
                <w:sz w:val="20"/>
                <w:szCs w:val="20"/>
                <w:lang w:val="en-GB" w:eastAsia="en-GB"/>
              </w:rPr>
              <w:t>Preventing and detecting unlawful acts under Para 10(1)(2)(3)</w:t>
            </w:r>
          </w:p>
          <w:p w14:paraId="2B224EDD" w14:textId="7D2DA631" w:rsidR="000B0EF0" w:rsidRPr="00080145" w:rsidRDefault="000B0EF0" w:rsidP="00634182">
            <w:pPr>
              <w:pStyle w:val="Body"/>
              <w:numPr>
                <w:ilvl w:val="0"/>
                <w:numId w:val="12"/>
              </w:numPr>
              <w:rPr>
                <w:rFonts w:ascii="Segoe UI" w:eastAsia="Times New Roman" w:hAnsi="Segoe UI" w:cs="Segoe UI"/>
                <w:b/>
                <w:color w:val="auto"/>
                <w:sz w:val="20"/>
                <w:szCs w:val="20"/>
                <w:lang w:val="en-GB" w:eastAsia="en-GB"/>
              </w:rPr>
            </w:pPr>
            <w:r w:rsidRPr="00080145">
              <w:rPr>
                <w:rFonts w:ascii="Segoe UI" w:hAnsi="Segoe UI" w:cs="Segoe UI"/>
                <w:i/>
                <w:iCs/>
                <w:sz w:val="20"/>
                <w:szCs w:val="20"/>
                <w:lang w:val="en-GB" w:eastAsia="en-GB"/>
              </w:rPr>
              <w:t>Safeguarding children and individuals at risk under Para 18(1)(2)(3)(4</w:t>
            </w:r>
            <w:r w:rsidR="00634182" w:rsidRPr="00080145">
              <w:rPr>
                <w:rFonts w:ascii="Segoe UI" w:hAnsi="Segoe UI" w:cs="Segoe UI"/>
                <w:i/>
                <w:iCs/>
                <w:sz w:val="20"/>
                <w:szCs w:val="20"/>
                <w:lang w:val="en-GB" w:eastAsia="en-GB"/>
              </w:rPr>
              <w:t>)</w:t>
            </w:r>
          </w:p>
        </w:tc>
      </w:tr>
      <w:tr w:rsidR="000B0EF0" w:rsidRPr="00080145" w14:paraId="071A56AE" w14:textId="77777777" w:rsidTr="000B0EF0">
        <w:trPr>
          <w:cantSplit/>
        </w:trPr>
        <w:tc>
          <w:tcPr>
            <w:tcW w:w="10768" w:type="dxa"/>
          </w:tcPr>
          <w:p w14:paraId="713DA3E3" w14:textId="77777777" w:rsidR="000B0EF0" w:rsidRPr="00080145" w:rsidRDefault="000B0EF0" w:rsidP="00BA50B1">
            <w:pPr>
              <w:rPr>
                <w:rFonts w:ascii="Segoe UI" w:eastAsia="Times New Roman" w:hAnsi="Segoe UI" w:cs="Segoe UI"/>
                <w:color w:val="auto"/>
                <w:sz w:val="20"/>
                <w:szCs w:val="24"/>
                <w:lang w:eastAsia="en-GB"/>
              </w:rPr>
            </w:pPr>
            <w:r w:rsidRPr="00080145">
              <w:rPr>
                <w:rFonts w:ascii="Segoe UI" w:eastAsia="Times New Roman" w:hAnsi="Segoe UI" w:cs="Segoe UI"/>
                <w:color w:val="auto"/>
                <w:sz w:val="20"/>
                <w:szCs w:val="24"/>
                <w:lang w:eastAsia="en-GB"/>
              </w:rPr>
              <w:lastRenderedPageBreak/>
              <w:t>(h)</w:t>
            </w:r>
            <w:r w:rsidRPr="00080145">
              <w:rPr>
                <w:rFonts w:ascii="Segoe UI" w:eastAsia="Times New Roman" w:hAnsi="Segoe UI" w:cs="Segoe UI"/>
                <w:b/>
                <w:color w:val="auto"/>
                <w:sz w:val="20"/>
                <w:szCs w:val="24"/>
                <w:lang w:eastAsia="en-GB"/>
              </w:rPr>
              <w:t xml:space="preserve"> provision of health or social care</w:t>
            </w:r>
            <w:r w:rsidRPr="00080145">
              <w:rPr>
                <w:rFonts w:ascii="Segoe UI" w:eastAsia="Times New Roman" w:hAnsi="Segoe UI" w:cs="Segoe UI"/>
                <w:color w:val="auto"/>
                <w:sz w:val="20"/>
                <w:szCs w:val="24"/>
                <w:lang w:eastAsia="en-GB"/>
              </w:rPr>
              <w:t xml:space="preserve"> -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579201D" w14:textId="6C02CC5A" w:rsidR="00C44232" w:rsidRPr="00080145" w:rsidRDefault="00E93791" w:rsidP="00E93791">
            <w:pPr>
              <w:pStyle w:val="Body"/>
              <w:rPr>
                <w:rFonts w:ascii="Segoe UI" w:hAnsi="Segoe UI" w:cs="Segoe UI"/>
                <w:sz w:val="20"/>
                <w:szCs w:val="20"/>
                <w:lang w:val="en-GB"/>
              </w:rPr>
            </w:pPr>
            <w:r w:rsidRPr="00080145">
              <w:rPr>
                <w:rFonts w:ascii="Segoe UI" w:hAnsi="Segoe UI" w:cs="Segoe UI"/>
                <w:sz w:val="20"/>
                <w:szCs w:val="20"/>
                <w:lang w:val="en-GB"/>
              </w:rPr>
              <w:t>Use of this article requires that the Data Protection Act Section 10</w:t>
            </w:r>
            <w:r w:rsidR="00C44232" w:rsidRPr="00080145">
              <w:rPr>
                <w:rFonts w:ascii="Segoe UI" w:hAnsi="Segoe UI" w:cs="Segoe UI"/>
                <w:sz w:val="20"/>
                <w:szCs w:val="20"/>
                <w:lang w:val="en-GB"/>
              </w:rPr>
              <w:t>(2)</w:t>
            </w:r>
            <w:r w:rsidRPr="00080145">
              <w:rPr>
                <w:rFonts w:ascii="Segoe UI" w:hAnsi="Segoe UI" w:cs="Segoe UI"/>
                <w:sz w:val="20"/>
                <w:szCs w:val="20"/>
                <w:lang w:val="en-GB"/>
              </w:rPr>
              <w:t xml:space="preserve"> be satisfied. This requires that a condition within Schedule 1, Part </w:t>
            </w:r>
            <w:r w:rsidR="00285588" w:rsidRPr="00080145">
              <w:rPr>
                <w:rFonts w:ascii="Segoe UI" w:hAnsi="Segoe UI" w:cs="Segoe UI"/>
                <w:sz w:val="20"/>
                <w:szCs w:val="20"/>
                <w:lang w:val="en-GB"/>
              </w:rPr>
              <w:t>1</w:t>
            </w:r>
            <w:r w:rsidRPr="00080145">
              <w:rPr>
                <w:rFonts w:ascii="Segoe UI" w:hAnsi="Segoe UI" w:cs="Segoe UI"/>
                <w:sz w:val="20"/>
                <w:szCs w:val="20"/>
                <w:lang w:val="en-GB"/>
              </w:rPr>
              <w:t xml:space="preserve"> is met. For this agreement these are: </w:t>
            </w:r>
          </w:p>
          <w:p w14:paraId="7C19DC03" w14:textId="35AF08A1" w:rsidR="00E93791" w:rsidRPr="00080145" w:rsidRDefault="00973D86" w:rsidP="00BA50B1">
            <w:pPr>
              <w:pStyle w:val="Body"/>
              <w:numPr>
                <w:ilvl w:val="0"/>
                <w:numId w:val="14"/>
              </w:numPr>
              <w:rPr>
                <w:rFonts w:ascii="Segoe UI" w:hAnsi="Segoe UI" w:cs="Segoe UI"/>
                <w:i/>
                <w:iCs/>
                <w:sz w:val="20"/>
                <w:szCs w:val="20"/>
                <w:lang w:val="en-GB"/>
              </w:rPr>
            </w:pPr>
            <w:r w:rsidRPr="00080145">
              <w:rPr>
                <w:rFonts w:ascii="Segoe UI" w:hAnsi="Segoe UI" w:cs="Segoe UI"/>
                <w:i/>
                <w:iCs/>
                <w:sz w:val="20"/>
                <w:szCs w:val="20"/>
                <w:lang w:val="en-GB"/>
              </w:rPr>
              <w:t>Health or Social Care Purposes under Para 2</w:t>
            </w:r>
            <w:r w:rsidR="00D2397B" w:rsidRPr="00080145">
              <w:rPr>
                <w:rFonts w:ascii="Segoe UI" w:hAnsi="Segoe UI" w:cs="Segoe UI"/>
                <w:i/>
                <w:iCs/>
                <w:sz w:val="20"/>
                <w:szCs w:val="20"/>
                <w:lang w:val="en-GB"/>
              </w:rPr>
              <w:t xml:space="preserve"> with appropriate safeguards as required by </w:t>
            </w:r>
            <w:r w:rsidR="009900DE" w:rsidRPr="00080145">
              <w:rPr>
                <w:rFonts w:ascii="Segoe UI" w:hAnsi="Segoe UI" w:cs="Segoe UI"/>
                <w:i/>
                <w:iCs/>
                <w:sz w:val="20"/>
                <w:szCs w:val="20"/>
                <w:lang w:val="en-GB"/>
              </w:rPr>
              <w:t>section 11(1) of the act and Article 9(3) of the UK GDPR</w:t>
            </w:r>
          </w:p>
        </w:tc>
      </w:tr>
      <w:tr w:rsidR="000B0EF0" w:rsidRPr="00080145" w14:paraId="27ACA8C0" w14:textId="77777777" w:rsidTr="000B0EF0">
        <w:trPr>
          <w:cantSplit/>
        </w:trPr>
        <w:tc>
          <w:tcPr>
            <w:tcW w:w="10768" w:type="dxa"/>
          </w:tcPr>
          <w:p w14:paraId="0A83E689" w14:textId="28AAF8EF" w:rsidR="000B0EF0" w:rsidRPr="00080145" w:rsidRDefault="002B61C0" w:rsidP="002B61C0">
            <w:pPr>
              <w:rPr>
                <w:rFonts w:ascii="Segoe UI" w:eastAsia="Times New Roman" w:hAnsi="Segoe UI" w:cs="Segoe UI"/>
                <w:sz w:val="20"/>
                <w:szCs w:val="24"/>
                <w:lang w:eastAsia="en-GB"/>
              </w:rPr>
            </w:pPr>
            <w:r w:rsidRPr="00080145">
              <w:rPr>
                <w:rFonts w:ascii="Segoe UI" w:eastAsia="Times New Roman" w:hAnsi="Segoe UI" w:cs="Segoe UI"/>
                <w:bCs/>
                <w:sz w:val="20"/>
                <w:szCs w:val="24"/>
                <w:lang w:eastAsia="en-GB"/>
              </w:rPr>
              <w:t xml:space="preserve">(i) </w:t>
            </w:r>
            <w:r w:rsidR="000B0EF0" w:rsidRPr="00080145">
              <w:rPr>
                <w:rFonts w:ascii="Segoe UI" w:eastAsia="Times New Roman" w:hAnsi="Segoe UI" w:cs="Segoe UI"/>
                <w:b/>
                <w:sz w:val="20"/>
                <w:szCs w:val="24"/>
                <w:lang w:eastAsia="en-GB"/>
              </w:rPr>
              <w:t>public health</w:t>
            </w:r>
            <w:r w:rsidR="000B0EF0" w:rsidRPr="00080145">
              <w:rPr>
                <w:rFonts w:ascii="Segoe UI" w:eastAsia="Times New Roman" w:hAnsi="Segoe UI" w:cs="Segoe UI"/>
                <w:sz w:val="20"/>
                <w:szCs w:val="24"/>
                <w:lang w:eastAsia="en-GB"/>
              </w:rPr>
              <w:t xml:space="preserve"> - 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0FB0F374" w14:textId="77777777" w:rsidR="00E80B18" w:rsidRPr="00080145" w:rsidRDefault="00E80B18" w:rsidP="00E80B18">
            <w:pPr>
              <w:pStyle w:val="Body"/>
              <w:rPr>
                <w:rFonts w:ascii="Segoe UI" w:hAnsi="Segoe UI" w:cs="Segoe UI"/>
                <w:sz w:val="20"/>
                <w:szCs w:val="20"/>
                <w:lang w:val="en-GB"/>
              </w:rPr>
            </w:pPr>
            <w:r w:rsidRPr="00080145">
              <w:rPr>
                <w:rFonts w:ascii="Segoe UI" w:hAnsi="Segoe UI" w:cs="Segoe UI"/>
                <w:sz w:val="20"/>
                <w:szCs w:val="20"/>
                <w:lang w:val="en-GB"/>
              </w:rPr>
              <w:t xml:space="preserve">Use of this article requires that the Data Protection Act Section 10(2) be satisfied. This requires that a condition within Schedule 1, Part 1 is met. For this agreement these are: </w:t>
            </w:r>
          </w:p>
          <w:p w14:paraId="68372C55" w14:textId="186D2871" w:rsidR="00C44232" w:rsidRPr="00080145" w:rsidRDefault="00E80B18" w:rsidP="00C44232">
            <w:pPr>
              <w:pStyle w:val="Body"/>
              <w:numPr>
                <w:ilvl w:val="0"/>
                <w:numId w:val="14"/>
              </w:numPr>
              <w:rPr>
                <w:rFonts w:ascii="Segoe UI" w:hAnsi="Segoe UI" w:cs="Segoe UI"/>
                <w:i/>
                <w:iCs/>
                <w:sz w:val="20"/>
                <w:szCs w:val="20"/>
                <w:lang w:val="en-GB"/>
              </w:rPr>
            </w:pPr>
            <w:r w:rsidRPr="00080145">
              <w:rPr>
                <w:rFonts w:ascii="Segoe UI" w:hAnsi="Segoe UI" w:cs="Segoe UI"/>
                <w:i/>
                <w:iCs/>
                <w:sz w:val="20"/>
                <w:szCs w:val="20"/>
                <w:lang w:val="en-GB"/>
              </w:rPr>
              <w:t>Public Health Purposes under Para 3</w:t>
            </w:r>
            <w:r w:rsidR="00A80262" w:rsidRPr="00080145">
              <w:rPr>
                <w:rFonts w:ascii="Segoe UI" w:hAnsi="Segoe UI" w:cs="Segoe UI"/>
                <w:i/>
                <w:iCs/>
                <w:sz w:val="20"/>
                <w:szCs w:val="20"/>
                <w:lang w:val="en-GB"/>
              </w:rPr>
              <w:t xml:space="preserve">, under the responsibility of a health professional </w:t>
            </w:r>
            <w:r w:rsidR="006D34A5" w:rsidRPr="00080145">
              <w:rPr>
                <w:rFonts w:ascii="Segoe UI" w:hAnsi="Segoe UI" w:cs="Segoe UI"/>
                <w:i/>
                <w:iCs/>
                <w:sz w:val="20"/>
                <w:szCs w:val="20"/>
                <w:lang w:val="en-GB"/>
              </w:rPr>
              <w:t>or by a person who owes a duty of confidentiality under an enactment or rule of law</w:t>
            </w:r>
          </w:p>
        </w:tc>
      </w:tr>
    </w:tbl>
    <w:p w14:paraId="75899F2B" w14:textId="4CF70C20" w:rsidR="00BD3DDD" w:rsidRPr="00080145" w:rsidRDefault="00BD3DDD" w:rsidP="00CB786D">
      <w:pPr>
        <w:pStyle w:val="Body"/>
        <w:rPr>
          <w:color w:val="auto"/>
          <w:lang w:val="en-GB"/>
        </w:rPr>
      </w:pPr>
    </w:p>
    <w:p w14:paraId="3C9902D0" w14:textId="2379DEDE" w:rsidR="00634182" w:rsidRPr="00080145" w:rsidRDefault="00634182" w:rsidP="00CB786D">
      <w:pPr>
        <w:pStyle w:val="Body"/>
        <w:rPr>
          <w:b/>
          <w:bCs/>
          <w:color w:val="auto"/>
          <w:lang w:val="en-GB"/>
        </w:rPr>
      </w:pPr>
      <w:r w:rsidRPr="00080145">
        <w:rPr>
          <w:b/>
          <w:bCs/>
          <w:color w:val="auto"/>
          <w:lang w:val="en-GB"/>
        </w:rPr>
        <w:t xml:space="preserve">For the purposes of </w:t>
      </w:r>
      <w:r w:rsidR="00A64644" w:rsidRPr="00080145">
        <w:rPr>
          <w:b/>
          <w:bCs/>
          <w:color w:val="auto"/>
          <w:lang w:val="en-GB"/>
        </w:rPr>
        <w:t>l</w:t>
      </w:r>
      <w:r w:rsidRPr="00080145">
        <w:rPr>
          <w:b/>
          <w:bCs/>
          <w:color w:val="auto"/>
          <w:lang w:val="en-GB"/>
        </w:rPr>
        <w:t xml:space="preserve">aw </w:t>
      </w:r>
      <w:r w:rsidR="00A64644" w:rsidRPr="00080145">
        <w:rPr>
          <w:b/>
          <w:bCs/>
          <w:color w:val="auto"/>
          <w:lang w:val="en-GB"/>
        </w:rPr>
        <w:t>e</w:t>
      </w:r>
      <w:r w:rsidRPr="00080145">
        <w:rPr>
          <w:b/>
          <w:bCs/>
          <w:color w:val="auto"/>
          <w:lang w:val="en-GB"/>
        </w:rPr>
        <w:t xml:space="preserve">nforcement by </w:t>
      </w:r>
      <w:r w:rsidR="00A64644" w:rsidRPr="00080145">
        <w:rPr>
          <w:b/>
          <w:bCs/>
          <w:color w:val="auto"/>
          <w:lang w:val="en-GB"/>
        </w:rPr>
        <w:t>c</w:t>
      </w:r>
      <w:r w:rsidRPr="00080145">
        <w:rPr>
          <w:b/>
          <w:bCs/>
          <w:color w:val="auto"/>
          <w:lang w:val="en-GB"/>
        </w:rPr>
        <w:t xml:space="preserve">ompetent </w:t>
      </w:r>
      <w:r w:rsidR="00A64644" w:rsidRPr="00080145">
        <w:rPr>
          <w:b/>
          <w:bCs/>
          <w:color w:val="auto"/>
          <w:lang w:val="en-GB"/>
        </w:rPr>
        <w:t>authorities</w:t>
      </w:r>
    </w:p>
    <w:p w14:paraId="61FA25D3" w14:textId="26B876A5" w:rsidR="00EB2047" w:rsidRPr="00080145" w:rsidRDefault="00EB2047" w:rsidP="00BD3DDD">
      <w:pPr>
        <w:pStyle w:val="Body"/>
        <w:rPr>
          <w:lang w:val="en-GB"/>
        </w:rPr>
      </w:pPr>
      <w:r w:rsidRPr="00080145">
        <w:rPr>
          <w:lang w:val="en-GB"/>
        </w:rPr>
        <w:t>The “</w:t>
      </w:r>
      <w:r w:rsidR="00320A98" w:rsidRPr="00080145">
        <w:rPr>
          <w:lang w:val="en-GB"/>
        </w:rPr>
        <w:t>c</w:t>
      </w:r>
      <w:r w:rsidRPr="00080145">
        <w:rPr>
          <w:lang w:val="en-GB"/>
        </w:rPr>
        <w:t xml:space="preserve">ompetent </w:t>
      </w:r>
      <w:r w:rsidR="00320A98" w:rsidRPr="00080145">
        <w:rPr>
          <w:lang w:val="en-GB"/>
        </w:rPr>
        <w:t>authori</w:t>
      </w:r>
      <w:r w:rsidR="00225EFF" w:rsidRPr="00080145">
        <w:rPr>
          <w:lang w:val="en-GB"/>
        </w:rPr>
        <w:t>ti</w:t>
      </w:r>
      <w:r w:rsidR="00320A98" w:rsidRPr="00080145">
        <w:rPr>
          <w:lang w:val="en-GB"/>
        </w:rPr>
        <w:t>es</w:t>
      </w:r>
      <w:r w:rsidRPr="00080145">
        <w:rPr>
          <w:lang w:val="en-GB"/>
        </w:rPr>
        <w:t xml:space="preserve">” are defined in </w:t>
      </w:r>
      <w:r w:rsidR="00225EFF" w:rsidRPr="00080145">
        <w:rPr>
          <w:lang w:val="en-GB"/>
        </w:rPr>
        <w:t xml:space="preserve">Section 30 of the DPA </w:t>
      </w:r>
      <w:r w:rsidR="006535A4" w:rsidRPr="00080145">
        <w:rPr>
          <w:lang w:val="en-GB"/>
        </w:rPr>
        <w:t>which refers to Schedule 7</w:t>
      </w:r>
      <w:r w:rsidR="00225EFF" w:rsidRPr="00080145">
        <w:rPr>
          <w:lang w:val="en-GB"/>
        </w:rPr>
        <w:t>.</w:t>
      </w:r>
      <w:r w:rsidR="006535A4" w:rsidRPr="00080145">
        <w:rPr>
          <w:lang w:val="en-GB"/>
        </w:rPr>
        <w:t xml:space="preserve"> </w:t>
      </w:r>
      <w:r w:rsidR="00E060CE" w:rsidRPr="00080145">
        <w:rPr>
          <w:lang w:val="en-GB"/>
        </w:rPr>
        <w:t xml:space="preserve">The competent authorities under this agreement are generally (but not exclusively) police, </w:t>
      </w:r>
      <w:r w:rsidR="00D65269" w:rsidRPr="00080145">
        <w:rPr>
          <w:lang w:val="en-GB"/>
        </w:rPr>
        <w:t>probation services</w:t>
      </w:r>
      <w:r w:rsidR="00615389" w:rsidRPr="00080145">
        <w:rPr>
          <w:lang w:val="en-GB"/>
        </w:rPr>
        <w:t>, youth offending teams</w:t>
      </w:r>
      <w:r w:rsidR="00021C31" w:rsidRPr="00080145">
        <w:rPr>
          <w:lang w:val="en-GB"/>
        </w:rPr>
        <w:t xml:space="preserve"> and government departments. </w:t>
      </w:r>
    </w:p>
    <w:p w14:paraId="7D8920B1" w14:textId="10CC582F" w:rsidR="0037793B" w:rsidRPr="00080145" w:rsidRDefault="0037793B" w:rsidP="00BD3DDD">
      <w:pPr>
        <w:pStyle w:val="Body"/>
        <w:rPr>
          <w:i/>
          <w:iCs/>
          <w:lang w:val="en-GB"/>
        </w:rPr>
      </w:pPr>
      <w:r w:rsidRPr="00080145">
        <w:rPr>
          <w:lang w:val="en-GB"/>
        </w:rPr>
        <w:t>The “law enforcement” purposes are defined in Section 31 of the DPA as “</w:t>
      </w:r>
      <w:r w:rsidRPr="00080145">
        <w:rPr>
          <w:i/>
          <w:iCs/>
          <w:lang w:val="en-GB"/>
        </w:rPr>
        <w:t>prevention, investigation, detection or prosecution of criminal offences or the execution of criminal penalties, including the safeguarding against and the prevention of threats to public security”</w:t>
      </w:r>
      <w:r w:rsidR="00B45114" w:rsidRPr="00080145">
        <w:rPr>
          <w:i/>
          <w:iCs/>
          <w:lang w:val="en-GB"/>
        </w:rPr>
        <w:t>.</w:t>
      </w:r>
    </w:p>
    <w:p w14:paraId="532E91CE" w14:textId="0E290AB2" w:rsidR="00515AC6" w:rsidRPr="00080145" w:rsidRDefault="00515AC6" w:rsidP="00BD3DDD">
      <w:pPr>
        <w:pStyle w:val="Body"/>
        <w:rPr>
          <w:lang w:val="en-GB"/>
        </w:rPr>
      </w:pPr>
      <w:r w:rsidRPr="00080145">
        <w:rPr>
          <w:lang w:val="en-GB"/>
        </w:rPr>
        <w:t>There are additional safeguards required for “sensitive processing”. This is defined in Section 35(8)</w:t>
      </w:r>
      <w:r w:rsidR="004351B5" w:rsidRPr="00080145">
        <w:rPr>
          <w:lang w:val="en-GB"/>
        </w:rPr>
        <w:t xml:space="preserve"> as:</w:t>
      </w:r>
    </w:p>
    <w:p w14:paraId="4D3E3B50" w14:textId="77777777" w:rsidR="004351B5" w:rsidRPr="00080145" w:rsidRDefault="004351B5" w:rsidP="004351B5">
      <w:pPr>
        <w:pStyle w:val="Body"/>
        <w:numPr>
          <w:ilvl w:val="0"/>
          <w:numId w:val="15"/>
        </w:numPr>
        <w:rPr>
          <w:lang w:val="en-GB"/>
        </w:rPr>
      </w:pPr>
      <w:r w:rsidRPr="00080145">
        <w:rPr>
          <w:lang w:val="en-GB"/>
        </w:rPr>
        <w:t>the processing of personal data revealing racial or ethnic origin, political opinions, religious or philosophical beliefs or trade union membership;</w:t>
      </w:r>
    </w:p>
    <w:p w14:paraId="4A8B7A2B" w14:textId="77777777" w:rsidR="004351B5" w:rsidRPr="00080145" w:rsidRDefault="004351B5" w:rsidP="004351B5">
      <w:pPr>
        <w:pStyle w:val="Body"/>
        <w:numPr>
          <w:ilvl w:val="0"/>
          <w:numId w:val="15"/>
        </w:numPr>
        <w:rPr>
          <w:lang w:val="en-GB"/>
        </w:rPr>
      </w:pPr>
      <w:r w:rsidRPr="00080145">
        <w:rPr>
          <w:lang w:val="en-GB"/>
        </w:rPr>
        <w:t>the processing of genetic data, or of biometric data, for the purpose of uniquely identifying an individual;</w:t>
      </w:r>
    </w:p>
    <w:p w14:paraId="74B21EB5" w14:textId="77777777" w:rsidR="004351B5" w:rsidRPr="00080145" w:rsidRDefault="004351B5" w:rsidP="004351B5">
      <w:pPr>
        <w:pStyle w:val="Body"/>
        <w:numPr>
          <w:ilvl w:val="0"/>
          <w:numId w:val="15"/>
        </w:numPr>
        <w:rPr>
          <w:lang w:val="en-GB"/>
        </w:rPr>
      </w:pPr>
      <w:r w:rsidRPr="00080145">
        <w:rPr>
          <w:lang w:val="en-GB"/>
        </w:rPr>
        <w:t>the processing of data concerning health;</w:t>
      </w:r>
    </w:p>
    <w:p w14:paraId="578BF507" w14:textId="08E92EB9" w:rsidR="004351B5" w:rsidRPr="00080145" w:rsidRDefault="004351B5" w:rsidP="004351B5">
      <w:pPr>
        <w:pStyle w:val="Body"/>
        <w:numPr>
          <w:ilvl w:val="0"/>
          <w:numId w:val="15"/>
        </w:numPr>
        <w:rPr>
          <w:lang w:val="en-GB"/>
        </w:rPr>
      </w:pPr>
      <w:r w:rsidRPr="00080145">
        <w:rPr>
          <w:lang w:val="en-GB"/>
        </w:rPr>
        <w:t>the processing of data concerning an individual’s sex life or sexual orientation.</w:t>
      </w:r>
    </w:p>
    <w:p w14:paraId="4566B8CD" w14:textId="77777777" w:rsidR="00E96F06" w:rsidRPr="00080145" w:rsidRDefault="00E96F06" w:rsidP="00BD3DDD">
      <w:pPr>
        <w:pStyle w:val="Body"/>
        <w:rPr>
          <w:lang w:val="en-GB"/>
        </w:rPr>
      </w:pPr>
    </w:p>
    <w:p w14:paraId="63D22BD6" w14:textId="2A61E1B6" w:rsidR="00E96F06" w:rsidRPr="00080145" w:rsidRDefault="007451E0" w:rsidP="00BD3DDD">
      <w:pPr>
        <w:pStyle w:val="Body"/>
        <w:rPr>
          <w:lang w:val="en-GB"/>
        </w:rPr>
      </w:pPr>
      <w:r w:rsidRPr="00080145">
        <w:rPr>
          <w:lang w:val="en-GB"/>
        </w:rPr>
        <w:t xml:space="preserve">The additional requirements are given in Section 35(4) and (5). </w:t>
      </w:r>
      <w:r w:rsidR="00E96F06" w:rsidRPr="00080145">
        <w:rPr>
          <w:lang w:val="en-GB"/>
        </w:rPr>
        <w:t>Both require an appropriate policy document, and this document will form part of the policy for such processing, although competent authorities will need to satisfy themselves their own internal policy documents fully cover such use.</w:t>
      </w:r>
    </w:p>
    <w:p w14:paraId="704A0F25" w14:textId="13F0FC26" w:rsidR="004351B5" w:rsidRPr="00080145" w:rsidRDefault="00790FC5" w:rsidP="00BD3DDD">
      <w:pPr>
        <w:pStyle w:val="Body"/>
        <w:rPr>
          <w:lang w:val="en-GB"/>
        </w:rPr>
      </w:pPr>
      <w:r w:rsidRPr="00080145">
        <w:rPr>
          <w:lang w:val="en-GB"/>
        </w:rPr>
        <w:t>Section 35(4) requires the consent of the data subject</w:t>
      </w:r>
      <w:r w:rsidR="00E96F06" w:rsidRPr="00080145">
        <w:rPr>
          <w:lang w:val="en-GB"/>
        </w:rPr>
        <w:t>, 35(5) requires that the processing be strictly necessary for the law enforcement purposes, and meets a condition in Schedule 8.</w:t>
      </w:r>
    </w:p>
    <w:p w14:paraId="1B9A91E9" w14:textId="736D9D47" w:rsidR="00BD3DDD" w:rsidRPr="00080145" w:rsidRDefault="0031124D" w:rsidP="00BD3DDD">
      <w:pPr>
        <w:pStyle w:val="Body"/>
        <w:rPr>
          <w:lang w:val="en-GB"/>
        </w:rPr>
      </w:pPr>
      <w:r w:rsidRPr="00080145">
        <w:rPr>
          <w:lang w:val="en-GB"/>
        </w:rPr>
        <w:t xml:space="preserve">For the processing </w:t>
      </w:r>
      <w:r w:rsidR="00070DF3" w:rsidRPr="00080145">
        <w:rPr>
          <w:lang w:val="en-GB"/>
        </w:rPr>
        <w:t>in relation to the purposes here, t</w:t>
      </w:r>
      <w:r w:rsidR="00BD3DDD" w:rsidRPr="00080145">
        <w:rPr>
          <w:lang w:val="en-GB"/>
        </w:rPr>
        <w:t>he</w:t>
      </w:r>
      <w:r w:rsidR="003E63E7" w:rsidRPr="00080145">
        <w:rPr>
          <w:lang w:val="en-GB"/>
        </w:rPr>
        <w:t xml:space="preserve"> following conditions </w:t>
      </w:r>
      <w:r w:rsidR="008B6391" w:rsidRPr="00080145">
        <w:rPr>
          <w:lang w:val="en-GB"/>
        </w:rPr>
        <w:t xml:space="preserve">in Schedule 8 </w:t>
      </w:r>
      <w:r w:rsidR="003E63E7" w:rsidRPr="00080145">
        <w:rPr>
          <w:lang w:val="en-GB"/>
        </w:rPr>
        <w:t>are met:</w:t>
      </w:r>
    </w:p>
    <w:p w14:paraId="0480FB6B" w14:textId="77777777" w:rsidR="00BD3DDD" w:rsidRPr="00080145" w:rsidRDefault="00BD3DDD" w:rsidP="003E63E7">
      <w:pPr>
        <w:pStyle w:val="Body"/>
        <w:numPr>
          <w:ilvl w:val="0"/>
          <w:numId w:val="9"/>
        </w:numPr>
        <w:rPr>
          <w:lang w:val="en-GB" w:eastAsia="en-GB"/>
        </w:rPr>
      </w:pPr>
      <w:r w:rsidRPr="00080145">
        <w:rPr>
          <w:iCs/>
          <w:lang w:val="en-GB" w:eastAsia="en-GB"/>
        </w:rPr>
        <w:t>Statutory etc. purposes Para 1</w:t>
      </w:r>
      <w:r w:rsidRPr="00080145">
        <w:rPr>
          <w:lang w:val="en-GB" w:eastAsia="en-GB"/>
        </w:rPr>
        <w:t>(a)(b);</w:t>
      </w:r>
    </w:p>
    <w:p w14:paraId="6339F503" w14:textId="77777777" w:rsidR="00BD3DDD" w:rsidRPr="00080145" w:rsidRDefault="00BD3DDD" w:rsidP="003E63E7">
      <w:pPr>
        <w:pStyle w:val="Body"/>
        <w:numPr>
          <w:ilvl w:val="0"/>
          <w:numId w:val="9"/>
        </w:numPr>
        <w:rPr>
          <w:iCs/>
          <w:lang w:val="en-GB" w:eastAsia="en-GB"/>
        </w:rPr>
      </w:pPr>
      <w:r w:rsidRPr="00080145">
        <w:rPr>
          <w:iCs/>
          <w:lang w:val="en-GB" w:eastAsia="en-GB"/>
        </w:rPr>
        <w:lastRenderedPageBreak/>
        <w:t>Administration of justice Para 2;</w:t>
      </w:r>
    </w:p>
    <w:p w14:paraId="41795652" w14:textId="77777777" w:rsidR="00BD3DDD" w:rsidRPr="00080145" w:rsidRDefault="00BD3DDD" w:rsidP="003E63E7">
      <w:pPr>
        <w:pStyle w:val="Body"/>
        <w:numPr>
          <w:ilvl w:val="0"/>
          <w:numId w:val="9"/>
        </w:numPr>
        <w:rPr>
          <w:iCs/>
          <w:lang w:val="en-GB" w:eastAsia="en-GB"/>
        </w:rPr>
      </w:pPr>
      <w:r w:rsidRPr="00080145">
        <w:rPr>
          <w:iCs/>
          <w:lang w:val="en-GB" w:eastAsia="en-GB"/>
        </w:rPr>
        <w:t>Protecting individual’s vital interests Para 3;</w:t>
      </w:r>
    </w:p>
    <w:p w14:paraId="66F166A5" w14:textId="77777777" w:rsidR="00BD3DDD" w:rsidRPr="00080145" w:rsidRDefault="00BD3DDD" w:rsidP="003E63E7">
      <w:pPr>
        <w:pStyle w:val="Body"/>
        <w:numPr>
          <w:ilvl w:val="0"/>
          <w:numId w:val="9"/>
        </w:numPr>
        <w:rPr>
          <w:iCs/>
          <w:lang w:val="en-GB" w:eastAsia="en-GB"/>
        </w:rPr>
      </w:pPr>
      <w:r w:rsidRPr="00080145">
        <w:rPr>
          <w:iCs/>
          <w:lang w:val="en-GB" w:eastAsia="en-GB"/>
        </w:rPr>
        <w:t>Safeguarding of children and of individuals at risk Para 4(1)(2)(3)(4);</w:t>
      </w:r>
    </w:p>
    <w:p w14:paraId="49AF5F64" w14:textId="77777777" w:rsidR="00C006A6" w:rsidRPr="00080145" w:rsidRDefault="00C006A6" w:rsidP="00BD3DDD">
      <w:pPr>
        <w:pStyle w:val="Body"/>
        <w:rPr>
          <w:lang w:val="en-GB"/>
        </w:rPr>
      </w:pPr>
    </w:p>
    <w:p w14:paraId="31DFEFF4" w14:textId="7F9D1EB1" w:rsidR="00D81B52" w:rsidRPr="00080145" w:rsidRDefault="00D81B52" w:rsidP="00BD3DDD">
      <w:pPr>
        <w:pStyle w:val="Body"/>
        <w:rPr>
          <w:i/>
          <w:iCs/>
          <w:color w:val="auto"/>
          <w:lang w:val="en-GB"/>
        </w:rPr>
      </w:pPr>
      <w:r w:rsidRPr="00080145">
        <w:rPr>
          <w:lang w:val="en-GB"/>
        </w:rPr>
        <w:t xml:space="preserve">The applicable legislation that provides the lawful basis is listed in more detail in </w:t>
      </w:r>
      <w:r w:rsidR="00364317" w:rsidRPr="00080145">
        <w:rPr>
          <w:i/>
          <w:iCs/>
          <w:color w:val="auto"/>
          <w:lang w:val="en-GB"/>
        </w:rPr>
        <w:fldChar w:fldCharType="begin"/>
      </w:r>
      <w:r w:rsidR="00364317" w:rsidRPr="00080145">
        <w:rPr>
          <w:i/>
          <w:iCs/>
          <w:color w:val="auto"/>
          <w:lang w:val="en-GB"/>
        </w:rPr>
        <w:instrText xml:space="preserve"> REF _Ref55555047 \h  \* MERGEFORMAT </w:instrText>
      </w:r>
      <w:r w:rsidR="00364317" w:rsidRPr="00080145">
        <w:rPr>
          <w:i/>
          <w:iCs/>
          <w:color w:val="auto"/>
          <w:lang w:val="en-GB"/>
        </w:rPr>
      </w:r>
      <w:r w:rsidR="00364317" w:rsidRPr="00080145">
        <w:rPr>
          <w:i/>
          <w:iCs/>
          <w:color w:val="auto"/>
          <w:lang w:val="en-GB"/>
        </w:rPr>
        <w:fldChar w:fldCharType="separate"/>
      </w:r>
      <w:r w:rsidR="00364317" w:rsidRPr="00080145">
        <w:rPr>
          <w:i/>
          <w:iCs/>
          <w:lang w:val="en-GB"/>
        </w:rPr>
        <w:t>Appendix C – Applicable legislation</w:t>
      </w:r>
      <w:r w:rsidR="00364317" w:rsidRPr="00080145">
        <w:rPr>
          <w:i/>
          <w:iCs/>
          <w:color w:val="auto"/>
          <w:lang w:val="en-GB"/>
        </w:rPr>
        <w:fldChar w:fldCharType="end"/>
      </w:r>
      <w:r w:rsidR="0038763B" w:rsidRPr="00080145">
        <w:rPr>
          <w:i/>
          <w:iCs/>
          <w:color w:val="auto"/>
          <w:lang w:val="en-GB"/>
        </w:rPr>
        <w:t>.</w:t>
      </w:r>
    </w:p>
    <w:p w14:paraId="0D2EBC22" w14:textId="77777777" w:rsidR="0038763B" w:rsidRPr="00080145" w:rsidRDefault="0038763B" w:rsidP="00BD3DDD">
      <w:pPr>
        <w:pStyle w:val="Body"/>
        <w:rPr>
          <w:b/>
          <w:bCs/>
          <w:lang w:val="en-GB"/>
        </w:rPr>
      </w:pPr>
    </w:p>
    <w:p w14:paraId="4D86A705" w14:textId="77777777" w:rsidR="00D56817" w:rsidRPr="00080145" w:rsidRDefault="00D56817" w:rsidP="00D81B52">
      <w:pPr>
        <w:pStyle w:val="Heading2"/>
        <w:rPr>
          <w:lang w:val="en-GB"/>
        </w:rPr>
      </w:pPr>
      <w:bookmarkStart w:id="32" w:name="_Toc59206188"/>
      <w:r w:rsidRPr="00080145">
        <w:rPr>
          <w:lang w:val="en-GB"/>
        </w:rPr>
        <w:t>Consent</w:t>
      </w:r>
      <w:bookmarkEnd w:id="32"/>
    </w:p>
    <w:p w14:paraId="6BB58EDA" w14:textId="77777777" w:rsidR="0083463C" w:rsidRPr="00080145" w:rsidRDefault="00D56817" w:rsidP="000353D9">
      <w:pPr>
        <w:pStyle w:val="Body"/>
        <w:rPr>
          <w:lang w:val="en-GB"/>
        </w:rPr>
      </w:pPr>
      <w:r w:rsidRPr="00080145">
        <w:rPr>
          <w:lang w:val="en-GB"/>
        </w:rPr>
        <w:t xml:space="preserve">The parties will often work collaboratively with data subjects and aim for agreement </w:t>
      </w:r>
      <w:r w:rsidR="00D81B52" w:rsidRPr="00080145">
        <w:rPr>
          <w:lang w:val="en-GB"/>
        </w:rPr>
        <w:t xml:space="preserve">with them on </w:t>
      </w:r>
      <w:r w:rsidRPr="00080145">
        <w:rPr>
          <w:lang w:val="en-GB"/>
        </w:rPr>
        <w:t>the actions to be taken. However, it is recognised that this is different to using consent (Article 6</w:t>
      </w:r>
      <w:r w:rsidR="0083463C" w:rsidRPr="00080145">
        <w:rPr>
          <w:lang w:val="en-GB"/>
        </w:rPr>
        <w:t xml:space="preserve"> (a)</w:t>
      </w:r>
      <w:r w:rsidRPr="00080145">
        <w:rPr>
          <w:lang w:val="en-GB"/>
        </w:rPr>
        <w:t>) or explicit consent (Article 9</w:t>
      </w:r>
      <w:r w:rsidR="0083463C" w:rsidRPr="00080145">
        <w:rPr>
          <w:lang w:val="en-GB"/>
        </w:rPr>
        <w:t xml:space="preserve"> (a)</w:t>
      </w:r>
      <w:r w:rsidRPr="00080145">
        <w:rPr>
          <w:lang w:val="en-GB"/>
        </w:rPr>
        <w:t>) a</w:t>
      </w:r>
      <w:r w:rsidR="00D81B52" w:rsidRPr="00080145">
        <w:rPr>
          <w:lang w:val="en-GB"/>
        </w:rPr>
        <w:t>s</w:t>
      </w:r>
      <w:r w:rsidRPr="00080145">
        <w:rPr>
          <w:lang w:val="en-GB"/>
        </w:rPr>
        <w:t xml:space="preserve"> the lawful basis conditions used for processing under this agreement.</w:t>
      </w:r>
      <w:r w:rsidR="00D81B52" w:rsidRPr="00080145">
        <w:rPr>
          <w:lang w:val="en-GB"/>
        </w:rPr>
        <w:t xml:space="preserve"> </w:t>
      </w:r>
    </w:p>
    <w:p w14:paraId="415110FA" w14:textId="0DC05809" w:rsidR="00D56817" w:rsidRPr="00080145" w:rsidRDefault="00D81B52" w:rsidP="000353D9">
      <w:pPr>
        <w:pStyle w:val="Body"/>
        <w:rPr>
          <w:lang w:val="en-GB"/>
        </w:rPr>
      </w:pPr>
      <w:r w:rsidRPr="00080145">
        <w:rPr>
          <w:lang w:val="en-GB"/>
        </w:rPr>
        <w:t xml:space="preserve">Consent is not </w:t>
      </w:r>
      <w:r w:rsidR="002D7907" w:rsidRPr="00080145">
        <w:rPr>
          <w:lang w:val="en-GB"/>
        </w:rPr>
        <w:t xml:space="preserve">generally </w:t>
      </w:r>
      <w:r w:rsidRPr="00080145">
        <w:rPr>
          <w:lang w:val="en-GB"/>
        </w:rPr>
        <w:t>the lawful basis</w:t>
      </w:r>
      <w:r w:rsidR="0083463C" w:rsidRPr="00080145">
        <w:rPr>
          <w:lang w:val="en-GB"/>
        </w:rPr>
        <w:t xml:space="preserve"> the public sector organisations use</w:t>
      </w:r>
      <w:r w:rsidRPr="00080145">
        <w:rPr>
          <w:lang w:val="en-GB"/>
        </w:rPr>
        <w:t xml:space="preserve"> for </w:t>
      </w:r>
      <w:r w:rsidR="006125D0" w:rsidRPr="00080145">
        <w:rPr>
          <w:lang w:val="en-GB"/>
        </w:rPr>
        <w:t xml:space="preserve">processing </w:t>
      </w:r>
      <w:r w:rsidRPr="00080145">
        <w:rPr>
          <w:lang w:val="en-GB"/>
        </w:rPr>
        <w:t>information shared under this agreement.</w:t>
      </w:r>
      <w:r w:rsidR="0083463C" w:rsidRPr="00080145">
        <w:rPr>
          <w:lang w:val="en-GB"/>
        </w:rPr>
        <w:t xml:space="preserve"> It is possible that the other parties, such as voluntary groups, may use consent as lawful basis for some personal data processing. Each party is responsible for managing consent where they use consent as the lawful basis condition.</w:t>
      </w:r>
    </w:p>
    <w:p w14:paraId="3636E6B0" w14:textId="77777777" w:rsidR="00D56817" w:rsidRPr="00080145" w:rsidRDefault="00D56817" w:rsidP="000353D9">
      <w:pPr>
        <w:pStyle w:val="Body"/>
        <w:rPr>
          <w:lang w:val="en-GB"/>
        </w:rPr>
      </w:pPr>
    </w:p>
    <w:p w14:paraId="4413218D" w14:textId="12D65E16" w:rsidR="00D81B52" w:rsidRPr="00080145" w:rsidRDefault="00D81B52" w:rsidP="00D81B52">
      <w:pPr>
        <w:pStyle w:val="Heading2"/>
        <w:rPr>
          <w:lang w:val="en-GB" w:eastAsia="en-GB"/>
        </w:rPr>
      </w:pPr>
      <w:bookmarkStart w:id="33" w:name="_Toc59206189"/>
      <w:r w:rsidRPr="00080145">
        <w:rPr>
          <w:lang w:val="en-GB" w:eastAsia="en-GB"/>
        </w:rPr>
        <w:t>Proportionality and necessity</w:t>
      </w:r>
      <w:bookmarkEnd w:id="33"/>
    </w:p>
    <w:p w14:paraId="073BF9FC" w14:textId="05A9FF79" w:rsidR="00094D3A" w:rsidRPr="00080145" w:rsidRDefault="002E0733" w:rsidP="002E0733">
      <w:pPr>
        <w:pStyle w:val="Body"/>
        <w:rPr>
          <w:color w:val="auto"/>
          <w:lang w:val="en-GB" w:eastAsia="en-GB"/>
        </w:rPr>
      </w:pPr>
      <w:r w:rsidRPr="00080145">
        <w:rPr>
          <w:color w:val="auto"/>
          <w:lang w:val="en-GB" w:eastAsia="en-GB"/>
        </w:rPr>
        <w:t>Proportionality and necessity are factors to be taken into consideration when deciding whether to share personal informatio</w:t>
      </w:r>
      <w:r w:rsidR="00D81B52" w:rsidRPr="00080145">
        <w:rPr>
          <w:color w:val="auto"/>
          <w:lang w:val="en-GB" w:eastAsia="en-GB"/>
        </w:rPr>
        <w:t>n. In making the decision, employees</w:t>
      </w:r>
      <w:r w:rsidRPr="00080145">
        <w:rPr>
          <w:color w:val="auto"/>
          <w:lang w:val="en-GB" w:eastAsia="en-GB"/>
        </w:rPr>
        <w:t xml:space="preserve"> must weigh up what might happen as a result of the information being shared against what might happen if it is not</w:t>
      </w:r>
      <w:r w:rsidR="00D81B52" w:rsidRPr="00080145">
        <w:rPr>
          <w:color w:val="auto"/>
          <w:lang w:val="en-GB" w:eastAsia="en-GB"/>
        </w:rPr>
        <w:t>,</w:t>
      </w:r>
      <w:r w:rsidRPr="00080145">
        <w:rPr>
          <w:color w:val="auto"/>
          <w:lang w:val="en-GB" w:eastAsia="en-GB"/>
        </w:rPr>
        <w:t xml:space="preserve"> and apply their professional judgement. </w:t>
      </w:r>
    </w:p>
    <w:p w14:paraId="6A83C413" w14:textId="6F3EB1C9" w:rsidR="00B77509" w:rsidRPr="000D189C" w:rsidRDefault="002E0733" w:rsidP="002E0733">
      <w:pPr>
        <w:pStyle w:val="Body"/>
        <w:rPr>
          <w:color w:val="auto"/>
          <w:lang w:val="en-GB"/>
        </w:rPr>
      </w:pPr>
      <w:r w:rsidRPr="00080145">
        <w:rPr>
          <w:color w:val="auto"/>
          <w:lang w:val="en-GB"/>
        </w:rPr>
        <w:t>Although sharing of information can impact on a practitioner’s relationship with an individual/family, keeping the child safe must always be the first consideration.</w:t>
      </w:r>
      <w:r w:rsidR="000D189C">
        <w:rPr>
          <w:b/>
          <w:bCs/>
          <w:color w:val="auto"/>
          <w:lang w:val="en-GB"/>
        </w:rPr>
        <w:t xml:space="preserve"> </w:t>
      </w:r>
      <w:r w:rsidR="000D189C">
        <w:rPr>
          <w:color w:val="auto"/>
          <w:lang w:val="en-GB"/>
        </w:rPr>
        <w:t>Safeguarding is a “special purpose” under the Data Protection Act and as such</w:t>
      </w:r>
      <w:r w:rsidR="00B77509">
        <w:rPr>
          <w:color w:val="auto"/>
          <w:lang w:val="en-GB"/>
        </w:rPr>
        <w:t xml:space="preserve"> you should share if the sharing is necessary for</w:t>
      </w:r>
      <w:r w:rsidR="00CC32F2">
        <w:rPr>
          <w:color w:val="auto"/>
          <w:lang w:val="en-GB"/>
        </w:rPr>
        <w:t xml:space="preserve"> protection an individual or a type of individual who is under 18 or over 18 and at risk fro</w:t>
      </w:r>
      <w:r w:rsidR="00E12FB3">
        <w:rPr>
          <w:color w:val="auto"/>
          <w:lang w:val="en-GB"/>
        </w:rPr>
        <w:t>m n</w:t>
      </w:r>
      <w:r w:rsidR="00AA6715" w:rsidRPr="00AA6715">
        <w:rPr>
          <w:color w:val="auto"/>
          <w:lang w:val="en-GB"/>
        </w:rPr>
        <w:t>eglect or physical, mental or emotional harm</w:t>
      </w:r>
      <w:r w:rsidR="00E12FB3">
        <w:rPr>
          <w:color w:val="auto"/>
          <w:lang w:val="en-GB"/>
        </w:rPr>
        <w:t>.</w:t>
      </w:r>
    </w:p>
    <w:p w14:paraId="3D746E74" w14:textId="4FB30A95" w:rsidR="00091A0C" w:rsidRDefault="00091A0C" w:rsidP="002E0733">
      <w:pPr>
        <w:pStyle w:val="Body"/>
        <w:rPr>
          <w:color w:val="auto"/>
          <w:lang w:val="en-GB"/>
        </w:rPr>
      </w:pPr>
      <w:r w:rsidRPr="00080145">
        <w:rPr>
          <w:color w:val="auto"/>
          <w:lang w:val="en-GB"/>
        </w:rPr>
        <w:t xml:space="preserve">There are legal safeguards </w:t>
      </w:r>
      <w:r w:rsidR="00080145" w:rsidRPr="00080145">
        <w:rPr>
          <w:color w:val="auto"/>
          <w:lang w:val="en-GB"/>
        </w:rPr>
        <w:t xml:space="preserve">which mean that it is a defence </w:t>
      </w:r>
      <w:r w:rsidR="00BA74DB">
        <w:rPr>
          <w:color w:val="auto"/>
          <w:lang w:val="en-GB"/>
        </w:rPr>
        <w:t xml:space="preserve">when sharing that </w:t>
      </w:r>
      <w:r w:rsidR="001948B7">
        <w:rPr>
          <w:color w:val="auto"/>
          <w:lang w:val="en-GB"/>
        </w:rPr>
        <w:t>you believed it was</w:t>
      </w:r>
      <w:r w:rsidR="002A162B">
        <w:rPr>
          <w:color w:val="auto"/>
          <w:lang w:val="en-GB"/>
        </w:rPr>
        <w:t>:</w:t>
      </w:r>
    </w:p>
    <w:p w14:paraId="429B9AC2" w14:textId="668CCC7B" w:rsidR="008668D6" w:rsidRDefault="008668D6" w:rsidP="008668D6">
      <w:pPr>
        <w:pStyle w:val="Body"/>
        <w:numPr>
          <w:ilvl w:val="0"/>
          <w:numId w:val="16"/>
        </w:numPr>
        <w:rPr>
          <w:color w:val="auto"/>
          <w:lang w:val="en-GB"/>
        </w:rPr>
      </w:pPr>
      <w:r w:rsidRPr="008668D6">
        <w:rPr>
          <w:color w:val="auto"/>
          <w:lang w:val="en-GB"/>
        </w:rPr>
        <w:t>necessary for the purposes of preventing or detecting crime</w:t>
      </w:r>
    </w:p>
    <w:p w14:paraId="1F76B897" w14:textId="705C21AA" w:rsidR="008668D6" w:rsidRDefault="008668D6" w:rsidP="008668D6">
      <w:pPr>
        <w:pStyle w:val="Body"/>
        <w:numPr>
          <w:ilvl w:val="0"/>
          <w:numId w:val="16"/>
        </w:numPr>
        <w:rPr>
          <w:color w:val="auto"/>
          <w:lang w:val="en-GB"/>
        </w:rPr>
      </w:pPr>
      <w:r w:rsidRPr="008668D6">
        <w:rPr>
          <w:color w:val="auto"/>
          <w:lang w:val="en-GB"/>
        </w:rPr>
        <w:t>required or authorised by an enactment, by a rule of law or by the order of a court or tribunal</w:t>
      </w:r>
    </w:p>
    <w:p w14:paraId="798B9AC2" w14:textId="28C0DA02" w:rsidR="008668D6" w:rsidRDefault="008668D6" w:rsidP="008668D6">
      <w:pPr>
        <w:pStyle w:val="Body"/>
        <w:numPr>
          <w:ilvl w:val="0"/>
          <w:numId w:val="16"/>
        </w:numPr>
        <w:rPr>
          <w:color w:val="auto"/>
          <w:lang w:val="en-GB"/>
        </w:rPr>
      </w:pPr>
      <w:r w:rsidRPr="008668D6">
        <w:rPr>
          <w:color w:val="auto"/>
          <w:lang w:val="en-GB"/>
        </w:rPr>
        <w:t>in the particular circumstances, was justified as being in the public interest.</w:t>
      </w:r>
    </w:p>
    <w:p w14:paraId="097855A6" w14:textId="07B0A034" w:rsidR="005B35AB" w:rsidRDefault="005B35AB" w:rsidP="005B35AB">
      <w:pPr>
        <w:pStyle w:val="Body"/>
        <w:rPr>
          <w:color w:val="auto"/>
          <w:lang w:val="en-GB"/>
        </w:rPr>
      </w:pPr>
      <w:r>
        <w:rPr>
          <w:color w:val="auto"/>
          <w:lang w:val="en-GB"/>
        </w:rPr>
        <w:t>Or that you</w:t>
      </w:r>
      <w:r w:rsidR="00AC53FB">
        <w:rPr>
          <w:color w:val="auto"/>
          <w:lang w:val="en-GB"/>
        </w:rPr>
        <w:t xml:space="preserve"> acted in the reasonable belief that</w:t>
      </w:r>
      <w:r w:rsidR="00EC544B">
        <w:rPr>
          <w:color w:val="auto"/>
          <w:lang w:val="en-GB"/>
        </w:rPr>
        <w:t>:</w:t>
      </w:r>
    </w:p>
    <w:p w14:paraId="2BD05465" w14:textId="77777777" w:rsidR="00AC53FB" w:rsidRDefault="008668D6" w:rsidP="008668D6">
      <w:pPr>
        <w:pStyle w:val="Body"/>
        <w:numPr>
          <w:ilvl w:val="0"/>
          <w:numId w:val="16"/>
        </w:numPr>
        <w:rPr>
          <w:color w:val="auto"/>
          <w:lang w:val="en-GB"/>
        </w:rPr>
      </w:pPr>
      <w:r w:rsidRPr="008668D6">
        <w:rPr>
          <w:color w:val="auto"/>
          <w:lang w:val="en-GB"/>
        </w:rPr>
        <w:t>the person had a legal right to do the obtaining, disclosing, procuring or retaining</w:t>
      </w:r>
    </w:p>
    <w:p w14:paraId="6E844196" w14:textId="07719791" w:rsidR="008668D6" w:rsidRPr="00AC53FB" w:rsidRDefault="008668D6" w:rsidP="008668D6">
      <w:pPr>
        <w:pStyle w:val="Body"/>
        <w:numPr>
          <w:ilvl w:val="0"/>
          <w:numId w:val="16"/>
        </w:numPr>
        <w:rPr>
          <w:color w:val="auto"/>
          <w:lang w:val="en-GB"/>
        </w:rPr>
      </w:pPr>
      <w:r w:rsidRPr="00AC53FB">
        <w:rPr>
          <w:color w:val="auto"/>
          <w:lang w:val="en-GB"/>
        </w:rPr>
        <w:t>the person would have had the consent of the controller if the controller had known about the obtaining, disclosing, procuring or retaining and the circumstances of it, or</w:t>
      </w:r>
    </w:p>
    <w:p w14:paraId="33616F5C" w14:textId="5E7EBB37" w:rsidR="006C7958" w:rsidRPr="00080145" w:rsidRDefault="006C7958" w:rsidP="00BD3DDD">
      <w:pPr>
        <w:pStyle w:val="Body"/>
        <w:rPr>
          <w:lang w:val="en-GB"/>
        </w:rPr>
      </w:pPr>
    </w:p>
    <w:p w14:paraId="187FBF86" w14:textId="77777777" w:rsidR="006C7958" w:rsidRPr="00080145" w:rsidRDefault="006C7958" w:rsidP="006C7958">
      <w:pPr>
        <w:pStyle w:val="Heading2"/>
        <w:rPr>
          <w:lang w:val="en-GB"/>
        </w:rPr>
      </w:pPr>
      <w:bookmarkStart w:id="34" w:name="_Toc18415832"/>
      <w:bookmarkStart w:id="35" w:name="_Toc59206190"/>
      <w:r w:rsidRPr="00080145">
        <w:rPr>
          <w:lang w:val="en-GB"/>
        </w:rPr>
        <w:t>Other relevant legislation</w:t>
      </w:r>
      <w:bookmarkEnd w:id="34"/>
      <w:bookmarkEnd w:id="35"/>
    </w:p>
    <w:p w14:paraId="77E34860" w14:textId="503E1B21" w:rsidR="006C7958" w:rsidRPr="00080145" w:rsidRDefault="006C7958" w:rsidP="00D81B52">
      <w:pPr>
        <w:pStyle w:val="Body"/>
        <w:rPr>
          <w:lang w:val="en-GB"/>
        </w:rPr>
      </w:pPr>
      <w:r w:rsidRPr="00080145">
        <w:rPr>
          <w:lang w:val="en-GB"/>
        </w:rPr>
        <w:t>The actual disclosure of any personal data to achieve these objectives must also be conducted within the framework of the Human Rights Act 1998 (HRA) and the Common Law Duty of Confidence. Caldicott Principles also apply to all information sharing and they are listed in</w:t>
      </w:r>
      <w:r w:rsidR="00147AFF" w:rsidRPr="00080145">
        <w:rPr>
          <w:lang w:val="en-GB"/>
        </w:rPr>
        <w:t xml:space="preserve">  </w:t>
      </w:r>
      <w:r w:rsidR="00147AFF" w:rsidRPr="00080145">
        <w:rPr>
          <w:lang w:val="en-GB"/>
        </w:rPr>
        <w:fldChar w:fldCharType="begin"/>
      </w:r>
      <w:r w:rsidR="00147AFF" w:rsidRPr="00080145">
        <w:rPr>
          <w:lang w:val="en-GB"/>
        </w:rPr>
        <w:instrText xml:space="preserve"> REF _Ref55557370 \h </w:instrText>
      </w:r>
      <w:r w:rsidR="00147AFF" w:rsidRPr="00080145">
        <w:rPr>
          <w:lang w:val="en-GB"/>
        </w:rPr>
      </w:r>
      <w:r w:rsidR="00147AFF" w:rsidRPr="00080145">
        <w:rPr>
          <w:lang w:val="en-GB"/>
        </w:rPr>
        <w:fldChar w:fldCharType="separate"/>
      </w:r>
      <w:r w:rsidR="00147AFF" w:rsidRPr="00080145">
        <w:rPr>
          <w:lang w:val="en-GB"/>
        </w:rPr>
        <w:t>Appendix B: Data Protection &amp; Caldicott Principles</w:t>
      </w:r>
      <w:r w:rsidR="00147AFF" w:rsidRPr="00080145">
        <w:rPr>
          <w:lang w:val="en-GB"/>
        </w:rPr>
        <w:fldChar w:fldCharType="end"/>
      </w:r>
      <w:r w:rsidRPr="00080145">
        <w:rPr>
          <w:color w:val="auto"/>
          <w:lang w:val="en-GB"/>
        </w:rPr>
        <w:t>.</w:t>
      </w:r>
    </w:p>
    <w:p w14:paraId="1729A546" w14:textId="77777777" w:rsidR="000353D9" w:rsidRPr="00080145" w:rsidRDefault="000353D9" w:rsidP="000353D9">
      <w:pPr>
        <w:pStyle w:val="Bodybullets"/>
        <w:tabs>
          <w:tab w:val="clear" w:pos="454"/>
          <w:tab w:val="num" w:pos="170"/>
        </w:tabs>
        <w:ind w:left="170"/>
        <w:rPr>
          <w:color w:val="auto"/>
          <w:lang w:val="en-GB"/>
        </w:rPr>
      </w:pPr>
      <w:r w:rsidRPr="00080145">
        <w:rPr>
          <w:color w:val="auto"/>
          <w:lang w:val="en-GB"/>
        </w:rPr>
        <w:lastRenderedPageBreak/>
        <w:t>Human Rights Act 1998 (HRA)</w:t>
      </w:r>
    </w:p>
    <w:p w14:paraId="33B6329E" w14:textId="77777777" w:rsidR="000353D9" w:rsidRPr="00080145" w:rsidRDefault="000353D9" w:rsidP="000353D9">
      <w:pPr>
        <w:pStyle w:val="Bodybullets"/>
        <w:tabs>
          <w:tab w:val="clear" w:pos="454"/>
          <w:tab w:val="num" w:pos="170"/>
        </w:tabs>
        <w:ind w:left="170"/>
        <w:rPr>
          <w:color w:val="auto"/>
          <w:lang w:val="en-GB"/>
        </w:rPr>
      </w:pPr>
      <w:r w:rsidRPr="00080145">
        <w:rPr>
          <w:color w:val="auto"/>
          <w:lang w:val="en-GB"/>
        </w:rPr>
        <w:t>Common law duty of confidentiality</w:t>
      </w:r>
    </w:p>
    <w:p w14:paraId="6FC0961C" w14:textId="77777777" w:rsidR="000353D9" w:rsidRPr="00080145" w:rsidRDefault="000353D9" w:rsidP="000353D9">
      <w:pPr>
        <w:pStyle w:val="Bodybullets"/>
        <w:tabs>
          <w:tab w:val="clear" w:pos="454"/>
          <w:tab w:val="num" w:pos="170"/>
        </w:tabs>
        <w:ind w:left="170"/>
        <w:rPr>
          <w:color w:val="auto"/>
          <w:lang w:val="en-GB"/>
        </w:rPr>
      </w:pPr>
      <w:r w:rsidRPr="00080145">
        <w:rPr>
          <w:color w:val="auto"/>
          <w:lang w:val="en-GB"/>
        </w:rPr>
        <w:t>Confidentiality and Sharing for Direct Care</w:t>
      </w:r>
    </w:p>
    <w:p w14:paraId="3F68AAC7" w14:textId="77777777" w:rsidR="000353D9" w:rsidRPr="00080145" w:rsidRDefault="000353D9" w:rsidP="006C7958">
      <w:pPr>
        <w:pStyle w:val="NoSpacing"/>
      </w:pPr>
    </w:p>
    <w:p w14:paraId="10808F19" w14:textId="77777777" w:rsidR="00DC3241" w:rsidRPr="00080145" w:rsidRDefault="00DC3241" w:rsidP="00D81B52">
      <w:pPr>
        <w:pStyle w:val="Heading2"/>
        <w:rPr>
          <w:lang w:val="en-GB"/>
        </w:rPr>
      </w:pPr>
      <w:bookmarkStart w:id="36" w:name="_Toc53729706"/>
      <w:bookmarkStart w:id="37" w:name="_Toc53753575"/>
      <w:bookmarkStart w:id="38" w:name="_Toc59206191"/>
      <w:r w:rsidRPr="00080145">
        <w:rPr>
          <w:lang w:val="en-GB"/>
        </w:rPr>
        <w:t>Common Law Duty of Confidence</w:t>
      </w:r>
      <w:bookmarkEnd w:id="36"/>
      <w:bookmarkEnd w:id="37"/>
      <w:bookmarkEnd w:id="38"/>
    </w:p>
    <w:p w14:paraId="20D9485F" w14:textId="41917DAB" w:rsidR="00D81B52" w:rsidRPr="00080145" w:rsidRDefault="00DC3241" w:rsidP="00DC3241">
      <w:pPr>
        <w:pStyle w:val="Body"/>
        <w:rPr>
          <w:iCs/>
          <w:lang w:val="en-GB"/>
        </w:rPr>
      </w:pPr>
      <w:r w:rsidRPr="00080145">
        <w:rPr>
          <w:iCs/>
          <w:lang w:val="en-GB"/>
        </w:rPr>
        <w:t xml:space="preserve">Much of the police information to be shared will not have been obtained under a duty of confidence as it is legitimately assumed that data subjects will understand that police will act appropriately with regards to the information for the purposes of preventing harm to or promoting the welfare of children. </w:t>
      </w:r>
    </w:p>
    <w:p w14:paraId="058EEBE1" w14:textId="77777777" w:rsidR="0073690C" w:rsidRPr="00080145" w:rsidRDefault="0073690C" w:rsidP="00DC3241">
      <w:pPr>
        <w:pStyle w:val="Body"/>
        <w:rPr>
          <w:iCs/>
          <w:lang w:val="en-GB"/>
        </w:rPr>
      </w:pPr>
    </w:p>
    <w:p w14:paraId="1586CDD2" w14:textId="109301D8" w:rsidR="00D81B52" w:rsidRPr="00080145" w:rsidRDefault="00D81B52" w:rsidP="00D81B52">
      <w:pPr>
        <w:pStyle w:val="Body"/>
        <w:rPr>
          <w:iCs/>
          <w:lang w:val="en-GB"/>
        </w:rPr>
      </w:pPr>
      <w:r w:rsidRPr="00080145">
        <w:rPr>
          <w:iCs/>
          <w:lang w:val="en-GB"/>
        </w:rPr>
        <w:t xml:space="preserve">However, </w:t>
      </w:r>
      <w:r w:rsidR="006125D0" w:rsidRPr="00080145">
        <w:rPr>
          <w:iCs/>
          <w:lang w:val="en-GB"/>
        </w:rPr>
        <w:t xml:space="preserve">for the police, </w:t>
      </w:r>
      <w:r w:rsidRPr="00080145">
        <w:rPr>
          <w:iCs/>
          <w:lang w:val="en-GB"/>
        </w:rPr>
        <w:t>as a safeguard before any information is passed on, it will undergo an</w:t>
      </w:r>
      <w:r w:rsidRPr="00080145">
        <w:rPr>
          <w:i/>
          <w:color w:val="0000FF"/>
          <w:lang w:val="en-GB"/>
        </w:rPr>
        <w:t xml:space="preserve"> </w:t>
      </w:r>
      <w:r w:rsidRPr="00080145">
        <w:rPr>
          <w:iCs/>
          <w:lang w:val="en-GB"/>
        </w:rPr>
        <w:t>assessment check against criteria (included in Child Abuse Investigation Command Standard Operating Procedures) by the Public Protection Desk (PPD). Whilst still applying proportionality and necessity to the decision, the protection of children or other vulnerable persons would clearly fulfil a public interest test when passing the information to a partner agency whose work with the police would facilitate this aim.</w:t>
      </w:r>
    </w:p>
    <w:p w14:paraId="38CC3357" w14:textId="56998507" w:rsidR="00D81B52" w:rsidRPr="00080145" w:rsidRDefault="00D81B52" w:rsidP="00D81B52">
      <w:pPr>
        <w:pStyle w:val="Body"/>
        <w:rPr>
          <w:lang w:val="en-GB"/>
        </w:rPr>
      </w:pPr>
      <w:r w:rsidRPr="00080145">
        <w:rPr>
          <w:iCs/>
          <w:lang w:val="en-GB"/>
        </w:rPr>
        <w:t xml:space="preserve">Information held by other agencies that will be shared in the MAS process may have been gathered where a duty of confidence is owed. </w:t>
      </w:r>
      <w:r w:rsidRPr="00080145">
        <w:rPr>
          <w:lang w:val="en-GB"/>
        </w:rPr>
        <w:t xml:space="preserve">Duty of confidence is not an absolute bar to disclosure as information can be shared where consent has been provided or where there is a strong enough public interest to do so. </w:t>
      </w:r>
    </w:p>
    <w:p w14:paraId="2EB9390C" w14:textId="5E3EA960" w:rsidR="00DC3241" w:rsidRPr="00080145" w:rsidRDefault="00DC3241" w:rsidP="00DC3241">
      <w:pPr>
        <w:pStyle w:val="Body"/>
        <w:rPr>
          <w:bCs/>
          <w:lang w:val="en-GB"/>
        </w:rPr>
      </w:pPr>
      <w:r w:rsidRPr="00080145">
        <w:rPr>
          <w:bCs/>
          <w:lang w:val="en-GB"/>
        </w:rPr>
        <w:t>When overriding the duty of confi</w:t>
      </w:r>
      <w:r w:rsidR="00D81B52" w:rsidRPr="00080145">
        <w:rPr>
          <w:bCs/>
          <w:lang w:val="en-GB"/>
        </w:rPr>
        <w:t xml:space="preserve">dentiality, the </w:t>
      </w:r>
      <w:r w:rsidR="006125D0" w:rsidRPr="00080145">
        <w:rPr>
          <w:bCs/>
          <w:lang w:val="en-GB"/>
        </w:rPr>
        <w:t xml:space="preserve">parties may </w:t>
      </w:r>
      <w:r w:rsidRPr="00080145">
        <w:rPr>
          <w:bCs/>
          <w:lang w:val="en-GB"/>
        </w:rPr>
        <w:t xml:space="preserve">seek the views of the organisation who hold the duty of confidentiality and </w:t>
      </w:r>
      <w:r w:rsidR="00D81B52" w:rsidRPr="00080145">
        <w:rPr>
          <w:bCs/>
          <w:lang w:val="en-GB"/>
        </w:rPr>
        <w:t>consider</w:t>
      </w:r>
      <w:r w:rsidRPr="00080145">
        <w:rPr>
          <w:bCs/>
          <w:lang w:val="en-GB"/>
        </w:rPr>
        <w:t xml:space="preserve"> their views in relation to breaching confidentiality. The organisation may wish to seek legal advice if time permits.</w:t>
      </w:r>
    </w:p>
    <w:p w14:paraId="58068B8D" w14:textId="77777777" w:rsidR="00DC3241" w:rsidRPr="00080145" w:rsidRDefault="00DC3241" w:rsidP="006C7958">
      <w:pPr>
        <w:pStyle w:val="NoSpacing"/>
      </w:pPr>
    </w:p>
    <w:p w14:paraId="43E84B31" w14:textId="482E523E" w:rsidR="00DC3241" w:rsidRPr="00080145" w:rsidRDefault="00D81B52" w:rsidP="00D81B52">
      <w:pPr>
        <w:pStyle w:val="Heading2"/>
        <w:rPr>
          <w:lang w:val="en-GB"/>
        </w:rPr>
      </w:pPr>
      <w:bookmarkStart w:id="39" w:name="_Toc59206192"/>
      <w:r w:rsidRPr="00080145">
        <w:rPr>
          <w:lang w:val="en-GB"/>
        </w:rPr>
        <w:t>Freedom of Information</w:t>
      </w:r>
      <w:bookmarkEnd w:id="39"/>
    </w:p>
    <w:p w14:paraId="282B48A4" w14:textId="3A0DF121" w:rsidR="006C7958" w:rsidRPr="00080145" w:rsidRDefault="006C7958" w:rsidP="00D81B52">
      <w:pPr>
        <w:pStyle w:val="Body"/>
        <w:rPr>
          <w:lang w:val="en-GB"/>
        </w:rPr>
      </w:pPr>
      <w:r w:rsidRPr="00080145">
        <w:rPr>
          <w:lang w:val="en-GB"/>
        </w:rPr>
        <w:t xml:space="preserve">The Freedom of Information Act 2000 gives all individuals the right to access official information held by a public authority (the Environmental Information Regulations 2004 also allow access to data. For ease of drafting, FOI is used to cover both legislation). Limited exemptions may apply and all public authorities must ensure they have recognised procedures in place for administering requests of this nature.  </w:t>
      </w:r>
    </w:p>
    <w:p w14:paraId="392FBC43" w14:textId="77777777" w:rsidR="006C7958" w:rsidRPr="00080145" w:rsidRDefault="006C7958" w:rsidP="00D81B52">
      <w:pPr>
        <w:pStyle w:val="Body"/>
        <w:rPr>
          <w:lang w:val="en-GB"/>
        </w:rPr>
      </w:pPr>
      <w:r w:rsidRPr="00080145">
        <w:rPr>
          <w:lang w:val="en-GB"/>
        </w:rPr>
        <w:t>All requests for FOI will be directed through the relevant organisations’ FOI processes. Each party will seek advice/opinion from the other parties where there is concern about that information being released and any impact it is likely to have.  The final decision to disclose or not will lie with the party who holds the information (data controller).</w:t>
      </w:r>
    </w:p>
    <w:p w14:paraId="025B6BA8" w14:textId="67BD0685" w:rsidR="00CB786D" w:rsidRPr="00080145" w:rsidRDefault="006C7958" w:rsidP="00D81B52">
      <w:pPr>
        <w:pStyle w:val="Body"/>
        <w:rPr>
          <w:lang w:val="en-GB"/>
        </w:rPr>
      </w:pPr>
      <w:r w:rsidRPr="00080145">
        <w:rPr>
          <w:lang w:val="en-GB"/>
        </w:rPr>
        <w:t>It is encouraged that all parties proactively publish this document. It may also be disclosed to the public under FOI.</w:t>
      </w:r>
    </w:p>
    <w:p w14:paraId="59B00E22" w14:textId="77777777" w:rsidR="008A145A" w:rsidRPr="00080145" w:rsidRDefault="008A145A" w:rsidP="008A145A">
      <w:pPr>
        <w:pStyle w:val="NoSpacing"/>
      </w:pPr>
    </w:p>
    <w:p w14:paraId="38E77A9B" w14:textId="166EC568" w:rsidR="000D26D1" w:rsidRPr="00080145" w:rsidRDefault="00322972" w:rsidP="007F1426">
      <w:pPr>
        <w:pStyle w:val="Heading1"/>
      </w:pPr>
      <w:bookmarkStart w:id="40" w:name="_Toc59206193"/>
      <w:r w:rsidRPr="00080145">
        <w:t>Individuals</w:t>
      </w:r>
      <w:bookmarkEnd w:id="40"/>
    </w:p>
    <w:p w14:paraId="66A5E61F" w14:textId="77777777" w:rsidR="006125D0" w:rsidRPr="00080145" w:rsidRDefault="006125D0" w:rsidP="006125D0">
      <w:pPr>
        <w:pStyle w:val="Body"/>
        <w:rPr>
          <w:lang w:val="en-GB" w:eastAsia="en-GB"/>
        </w:rPr>
      </w:pPr>
      <w:r w:rsidRPr="00080145">
        <w:rPr>
          <w:lang w:val="en-GB" w:eastAsia="en-GB"/>
        </w:rPr>
        <w:t>Organisations processing personal data are required to begin with the ethos of Data Protection by Design and Default (also known as Privacy by Design (PbD)). This means that we must consider and uphold the privacy of an individual’s data before we begin and throughout the processing taking place.</w:t>
      </w:r>
    </w:p>
    <w:p w14:paraId="3A51E235" w14:textId="77777777" w:rsidR="006125D0" w:rsidRPr="00080145" w:rsidRDefault="006125D0" w:rsidP="006125D0">
      <w:pPr>
        <w:pStyle w:val="Body"/>
        <w:rPr>
          <w:lang w:val="en-GB" w:eastAsia="en-GB"/>
        </w:rPr>
      </w:pPr>
      <w:r w:rsidRPr="00080145">
        <w:rPr>
          <w:lang w:val="en-GB" w:eastAsia="en-GB"/>
        </w:rPr>
        <w:t xml:space="preserve">Each party agrees that they have undertaken a DPIA (Data Protection Impact Assessment), where they feel the processing meets the legislative criteria for a DPIA. </w:t>
      </w:r>
    </w:p>
    <w:p w14:paraId="7F65C964" w14:textId="77777777" w:rsidR="006125D0" w:rsidRPr="00080145" w:rsidRDefault="006125D0" w:rsidP="006125D0">
      <w:pPr>
        <w:pStyle w:val="Body"/>
        <w:rPr>
          <w:lang w:val="en-GB"/>
        </w:rPr>
      </w:pPr>
    </w:p>
    <w:p w14:paraId="444BF144" w14:textId="0DD522C7" w:rsidR="002E0733" w:rsidRPr="00080145" w:rsidRDefault="002910C9" w:rsidP="006125D0">
      <w:pPr>
        <w:pStyle w:val="Heading2"/>
        <w:rPr>
          <w:lang w:val="en-GB"/>
        </w:rPr>
      </w:pPr>
      <w:bookmarkStart w:id="41" w:name="_Toc51582918"/>
      <w:bookmarkStart w:id="42" w:name="_Toc59206194"/>
      <w:r w:rsidRPr="00080145">
        <w:rPr>
          <w:lang w:val="en-GB"/>
        </w:rPr>
        <w:t>Right to be informed – Privacy notices</w:t>
      </w:r>
      <w:bookmarkEnd w:id="41"/>
      <w:bookmarkEnd w:id="42"/>
    </w:p>
    <w:p w14:paraId="7F1DBC22" w14:textId="0F1B2BE0" w:rsidR="006125D0" w:rsidRPr="00080145" w:rsidRDefault="006125D0" w:rsidP="002E0733">
      <w:pPr>
        <w:pStyle w:val="Bodybullets"/>
        <w:numPr>
          <w:ilvl w:val="0"/>
          <w:numId w:val="0"/>
        </w:numPr>
        <w:rPr>
          <w:color w:val="auto"/>
          <w:lang w:val="en-GB"/>
        </w:rPr>
      </w:pPr>
      <w:r w:rsidRPr="00080145">
        <w:rPr>
          <w:rFonts w:eastAsia="Times New Roman"/>
          <w:color w:val="auto"/>
          <w:lang w:val="en-GB" w:eastAsia="en-GB"/>
        </w:rPr>
        <w:t>Where personal data is created or received by one of the parties, they are responsible</w:t>
      </w:r>
      <w:r w:rsidR="002910C9" w:rsidRPr="00080145">
        <w:rPr>
          <w:rFonts w:eastAsia="Times New Roman"/>
          <w:color w:val="auto"/>
          <w:lang w:val="en-GB" w:eastAsia="en-GB"/>
        </w:rPr>
        <w:t>, as required by law,</w:t>
      </w:r>
      <w:r w:rsidRPr="00080145">
        <w:rPr>
          <w:rFonts w:eastAsia="Times New Roman"/>
          <w:color w:val="auto"/>
          <w:lang w:val="en-GB" w:eastAsia="en-GB"/>
        </w:rPr>
        <w:t xml:space="preserve"> for making the data subject(s) aware within a reasonable time frame that the organisation holds the data, what they will do with it, how long they will keep it, and who they will share it with (such as under this DSA). This is normally done through a </w:t>
      </w:r>
      <w:r w:rsidR="002910C9" w:rsidRPr="00080145">
        <w:rPr>
          <w:rFonts w:eastAsia="Times New Roman"/>
          <w:color w:val="auto"/>
          <w:lang w:val="en-GB" w:eastAsia="en-GB"/>
        </w:rPr>
        <w:t>p</w:t>
      </w:r>
      <w:r w:rsidRPr="00080145">
        <w:rPr>
          <w:rFonts w:eastAsia="Times New Roman"/>
          <w:color w:val="auto"/>
          <w:lang w:val="en-GB" w:eastAsia="en-GB"/>
        </w:rPr>
        <w:t xml:space="preserve">rivacy </w:t>
      </w:r>
      <w:r w:rsidR="002910C9" w:rsidRPr="00080145">
        <w:rPr>
          <w:rFonts w:eastAsia="Times New Roman"/>
          <w:color w:val="auto"/>
          <w:lang w:val="en-GB" w:eastAsia="en-GB"/>
        </w:rPr>
        <w:t>n</w:t>
      </w:r>
      <w:r w:rsidRPr="00080145">
        <w:rPr>
          <w:rFonts w:eastAsia="Times New Roman"/>
          <w:color w:val="auto"/>
          <w:lang w:val="en-GB" w:eastAsia="en-GB"/>
        </w:rPr>
        <w:t>otice</w:t>
      </w:r>
      <w:r w:rsidR="002910C9" w:rsidRPr="00080145">
        <w:rPr>
          <w:rFonts w:eastAsia="Times New Roman"/>
          <w:color w:val="auto"/>
          <w:lang w:val="en-GB" w:eastAsia="en-GB"/>
        </w:rPr>
        <w:t>, whether written or verbal</w:t>
      </w:r>
      <w:r w:rsidRPr="00080145">
        <w:rPr>
          <w:rFonts w:eastAsia="Times New Roman"/>
          <w:color w:val="auto"/>
          <w:lang w:val="en-GB" w:eastAsia="en-GB"/>
        </w:rPr>
        <w:t>.</w:t>
      </w:r>
      <w:r w:rsidR="002910C9" w:rsidRPr="00080145">
        <w:rPr>
          <w:rFonts w:eastAsia="Times New Roman"/>
          <w:color w:val="auto"/>
          <w:lang w:val="en-GB" w:eastAsia="en-GB"/>
        </w:rPr>
        <w:t xml:space="preserve"> </w:t>
      </w:r>
      <w:r w:rsidR="002E0733" w:rsidRPr="00080145">
        <w:rPr>
          <w:color w:val="auto"/>
          <w:lang w:val="en-GB"/>
        </w:rPr>
        <w:t xml:space="preserve">Organisations agree that they will adhere to the transparency requirements of the </w:t>
      </w:r>
      <w:r w:rsidR="005023B1" w:rsidRPr="00080145">
        <w:rPr>
          <w:color w:val="auto"/>
          <w:lang w:val="en-GB"/>
        </w:rPr>
        <w:t>UK</w:t>
      </w:r>
      <w:r w:rsidR="002E0733" w:rsidRPr="00080145">
        <w:rPr>
          <w:color w:val="auto"/>
          <w:lang w:val="en-GB"/>
        </w:rPr>
        <w:t>GDPR and will issue appropriate notices which inform the data subject that the information will be shared with t</w:t>
      </w:r>
      <w:r w:rsidRPr="00080145">
        <w:rPr>
          <w:color w:val="auto"/>
          <w:lang w:val="en-GB"/>
        </w:rPr>
        <w:t>he parties under this agreement</w:t>
      </w:r>
      <w:r w:rsidR="002E0733" w:rsidRPr="00080145">
        <w:rPr>
          <w:color w:val="auto"/>
          <w:lang w:val="en-GB"/>
        </w:rPr>
        <w:t xml:space="preserve">. </w:t>
      </w:r>
    </w:p>
    <w:p w14:paraId="28029FCE" w14:textId="77777777" w:rsidR="006125D0" w:rsidRPr="00080145" w:rsidRDefault="006125D0" w:rsidP="002E0733">
      <w:pPr>
        <w:pStyle w:val="Bodybullets"/>
        <w:numPr>
          <w:ilvl w:val="0"/>
          <w:numId w:val="0"/>
        </w:numPr>
        <w:rPr>
          <w:color w:val="auto"/>
          <w:lang w:val="en-GB"/>
        </w:rPr>
      </w:pPr>
    </w:p>
    <w:p w14:paraId="30738BEE" w14:textId="77922577" w:rsidR="002E0733" w:rsidRPr="00080145" w:rsidRDefault="006125D0" w:rsidP="002E0733">
      <w:pPr>
        <w:pStyle w:val="Bodybullets"/>
        <w:numPr>
          <w:ilvl w:val="0"/>
          <w:numId w:val="0"/>
        </w:numPr>
        <w:rPr>
          <w:rFonts w:eastAsia="Times New Roman"/>
          <w:color w:val="auto"/>
          <w:lang w:val="en-GB" w:eastAsia="en-GB"/>
        </w:rPr>
      </w:pPr>
      <w:r w:rsidRPr="00080145">
        <w:rPr>
          <w:lang w:val="en-GB"/>
        </w:rPr>
        <w:t xml:space="preserve">In some cases, it may not be appropriate to let a person know that information about them is being processed and shared. </w:t>
      </w:r>
      <w:r w:rsidR="002E0733" w:rsidRPr="00080145">
        <w:rPr>
          <w:color w:val="auto"/>
          <w:lang w:val="en-GB"/>
        </w:rPr>
        <w:t>Consideration should be given to whether notifying the individual may place someone at risk or prejudice a police or safeguarding investigation.</w:t>
      </w:r>
      <w:r w:rsidR="002E0733" w:rsidRPr="00080145">
        <w:rPr>
          <w:rFonts w:eastAsia="Times New Roman"/>
          <w:color w:val="auto"/>
          <w:lang w:val="en-GB" w:eastAsia="en-GB"/>
        </w:rPr>
        <w:t xml:space="preserve"> In these circumstances, </w:t>
      </w:r>
      <w:r w:rsidRPr="00080145">
        <w:rPr>
          <w:rFonts w:eastAsia="Times New Roman"/>
          <w:color w:val="auto"/>
          <w:lang w:val="en-GB" w:eastAsia="en-GB"/>
        </w:rPr>
        <w:t>the parties</w:t>
      </w:r>
      <w:r w:rsidR="002E0733" w:rsidRPr="00080145">
        <w:rPr>
          <w:rFonts w:eastAsia="Times New Roman"/>
          <w:color w:val="auto"/>
          <w:lang w:val="en-GB" w:eastAsia="en-GB"/>
        </w:rPr>
        <w:t xml:space="preserve"> need not inform individuals that the information </w:t>
      </w:r>
      <w:r w:rsidRPr="00080145">
        <w:rPr>
          <w:rFonts w:eastAsia="Times New Roman"/>
          <w:color w:val="auto"/>
          <w:lang w:val="en-GB" w:eastAsia="en-GB"/>
        </w:rPr>
        <w:t>is being processed/</w:t>
      </w:r>
      <w:r w:rsidR="002E0733" w:rsidRPr="00080145">
        <w:rPr>
          <w:rFonts w:eastAsia="Times New Roman"/>
          <w:color w:val="auto"/>
          <w:lang w:val="en-GB" w:eastAsia="en-GB"/>
        </w:rPr>
        <w:t>shared; but should record their reasons for sharing information without making the individual aware.</w:t>
      </w:r>
    </w:p>
    <w:p w14:paraId="3A8B0AF5" w14:textId="52D412F6" w:rsidR="002E0733" w:rsidRPr="00080145" w:rsidRDefault="002E0733" w:rsidP="002E0733">
      <w:pPr>
        <w:pStyle w:val="Body"/>
        <w:rPr>
          <w:color w:val="auto"/>
          <w:lang w:val="en-GB"/>
        </w:rPr>
      </w:pPr>
    </w:p>
    <w:p w14:paraId="2CE84F38" w14:textId="2852A87B" w:rsidR="006125D0" w:rsidRPr="00080145" w:rsidRDefault="002910C9" w:rsidP="002910C9">
      <w:pPr>
        <w:pStyle w:val="Heading2"/>
        <w:rPr>
          <w:lang w:val="en-GB"/>
        </w:rPr>
      </w:pPr>
      <w:bookmarkStart w:id="43" w:name="_Toc59206195"/>
      <w:r w:rsidRPr="00080145">
        <w:rPr>
          <w:lang w:val="en-GB"/>
        </w:rPr>
        <w:t>Data subject rights requests and complaints</w:t>
      </w:r>
      <w:bookmarkEnd w:id="43"/>
    </w:p>
    <w:p w14:paraId="033039E4" w14:textId="77777777" w:rsidR="002E0733" w:rsidRPr="00080145" w:rsidRDefault="002E0733" w:rsidP="002E0733">
      <w:pPr>
        <w:pStyle w:val="Body"/>
        <w:rPr>
          <w:color w:val="auto"/>
          <w:lang w:val="en-GB"/>
        </w:rPr>
      </w:pPr>
      <w:r w:rsidRPr="00080145">
        <w:rPr>
          <w:rFonts w:eastAsia="Times New Roman"/>
          <w:color w:val="auto"/>
          <w:lang w:val="en-GB" w:eastAsia="en-GB"/>
        </w:rPr>
        <w:t xml:space="preserve">Each </w:t>
      </w:r>
      <w:r w:rsidRPr="00080145">
        <w:rPr>
          <w:color w:val="auto"/>
          <w:lang w:val="en-GB"/>
        </w:rPr>
        <w:t>organisation must have in place appropriate policies and processes to handle data subject requests made in line with data protection law, to ensure they are responded to within deadline and in an appropriate manner. Requests include; right of access, right to rectification, right to erasure, right to restrict processing, right to data portability, right to object and rights related to automated decision making including profiling.</w:t>
      </w:r>
    </w:p>
    <w:p w14:paraId="60CA90E9" w14:textId="77777777" w:rsidR="002910C9" w:rsidRPr="00080145" w:rsidRDefault="002910C9" w:rsidP="002910C9">
      <w:pPr>
        <w:pStyle w:val="Body"/>
        <w:rPr>
          <w:color w:val="auto"/>
          <w:lang w:val="en-GB"/>
        </w:rPr>
      </w:pPr>
      <w:r w:rsidRPr="00080145">
        <w:rPr>
          <w:color w:val="auto"/>
          <w:lang w:val="en-GB"/>
        </w:rPr>
        <w:t xml:space="preserve">If an individual successfully requests the erasure or limitation of use of their data (right to erasure, right to rectification, right to restrict processing, right to object), the party that has been informed by the data subject will communicate this to the other parties where relevant and appropriate. In each case each party is responsible for securely disposing of such information or limiting its processing. </w:t>
      </w:r>
    </w:p>
    <w:p w14:paraId="1E67C59E" w14:textId="361951DF" w:rsidR="002910C9" w:rsidRPr="00080145" w:rsidRDefault="002910C9" w:rsidP="002910C9">
      <w:pPr>
        <w:pStyle w:val="Body"/>
        <w:rPr>
          <w:lang w:val="en-GB"/>
        </w:rPr>
      </w:pPr>
      <w:r w:rsidRPr="00080145">
        <w:rPr>
          <w:lang w:val="en-GB"/>
        </w:rPr>
        <w:t xml:space="preserve">Each party must have clear, fair and objective complaint procedures. Any complaints from individuals how their data is being processed or shared will be handled under the policy and processes of organisation concerned. </w:t>
      </w:r>
    </w:p>
    <w:p w14:paraId="0466A617" w14:textId="015F8AA0" w:rsidR="007A4D46" w:rsidRPr="00080145" w:rsidRDefault="007A4D46" w:rsidP="002910C9">
      <w:pPr>
        <w:pStyle w:val="Body"/>
        <w:rPr>
          <w:lang w:val="en-GB"/>
        </w:rPr>
      </w:pPr>
    </w:p>
    <w:p w14:paraId="4955BED1" w14:textId="6FCD9B98" w:rsidR="007A4D46" w:rsidRPr="00080145" w:rsidRDefault="007A4D46" w:rsidP="007A4D46">
      <w:pPr>
        <w:pStyle w:val="Heading2"/>
        <w:rPr>
          <w:lang w:val="en-GB"/>
        </w:rPr>
      </w:pPr>
      <w:bookmarkStart w:id="44" w:name="_Toc59206196"/>
      <w:r w:rsidRPr="00080145">
        <w:rPr>
          <w:lang w:val="en-GB"/>
        </w:rPr>
        <w:t>Data subjects</w:t>
      </w:r>
      <w:bookmarkEnd w:id="44"/>
    </w:p>
    <w:p w14:paraId="3BFCCF9A" w14:textId="12569DF7" w:rsidR="007A4D46" w:rsidRPr="00080145" w:rsidRDefault="007A4D46" w:rsidP="002910C9">
      <w:pPr>
        <w:pStyle w:val="Body"/>
        <w:rPr>
          <w:rFonts w:eastAsia="Times New Roman"/>
          <w:color w:val="auto"/>
          <w:lang w:val="en-GB" w:eastAsia="en-GB"/>
        </w:rPr>
      </w:pPr>
      <w:r w:rsidRPr="00080145">
        <w:rPr>
          <w:rFonts w:eastAsia="Times New Roman"/>
          <w:color w:val="auto"/>
          <w:lang w:val="en-GB" w:eastAsia="en-GB"/>
        </w:rPr>
        <w:t>There is a breadth of data subjects whose data is shared under this agreement. The data subjects include the following:</w:t>
      </w:r>
    </w:p>
    <w:p w14:paraId="25C0DF58" w14:textId="77777777" w:rsidR="007A4D46" w:rsidRPr="00080145" w:rsidRDefault="007A4D46" w:rsidP="007A4D46">
      <w:pPr>
        <w:pStyle w:val="Body"/>
        <w:numPr>
          <w:ilvl w:val="0"/>
          <w:numId w:val="11"/>
        </w:numPr>
        <w:rPr>
          <w:lang w:val="en-GB"/>
        </w:rPr>
      </w:pPr>
      <w:r w:rsidRPr="00080145">
        <w:rPr>
          <w:rFonts w:eastAsia="Times New Roman"/>
          <w:color w:val="auto"/>
          <w:lang w:val="en-GB" w:eastAsia="en-GB"/>
        </w:rPr>
        <w:t>child</w:t>
      </w:r>
    </w:p>
    <w:p w14:paraId="3DD70543" w14:textId="6AC57635" w:rsidR="007A4D46" w:rsidRPr="00080145" w:rsidRDefault="007A4D46" w:rsidP="007A4D46">
      <w:pPr>
        <w:pStyle w:val="Body"/>
        <w:numPr>
          <w:ilvl w:val="0"/>
          <w:numId w:val="11"/>
        </w:numPr>
        <w:rPr>
          <w:lang w:val="en-GB"/>
        </w:rPr>
      </w:pPr>
      <w:r w:rsidRPr="00080145">
        <w:rPr>
          <w:rFonts w:eastAsia="Times New Roman"/>
          <w:color w:val="auto"/>
          <w:lang w:val="en-GB" w:eastAsia="en-GB"/>
        </w:rPr>
        <w:t>family members, carers and other persons whose presence and/or relationship with the child, is relevant to identifying and assessing the risks to that child</w:t>
      </w:r>
    </w:p>
    <w:p w14:paraId="3454B1EF" w14:textId="07E7F96A" w:rsidR="007A4D46" w:rsidRPr="00080145" w:rsidRDefault="007A4D46" w:rsidP="007A4D46">
      <w:pPr>
        <w:pStyle w:val="Body"/>
        <w:numPr>
          <w:ilvl w:val="0"/>
          <w:numId w:val="11"/>
        </w:numPr>
        <w:rPr>
          <w:lang w:val="en-GB"/>
        </w:rPr>
      </w:pPr>
      <w:r w:rsidRPr="00080145">
        <w:rPr>
          <w:rFonts w:eastAsia="Times New Roman"/>
          <w:color w:val="auto"/>
          <w:lang w:val="en-GB" w:eastAsia="en-GB"/>
        </w:rPr>
        <w:t>victims</w:t>
      </w:r>
    </w:p>
    <w:p w14:paraId="69581F70" w14:textId="4455F379" w:rsidR="007A4D46" w:rsidRPr="00080145" w:rsidRDefault="007A4D46" w:rsidP="007A4D46">
      <w:pPr>
        <w:pStyle w:val="Body"/>
        <w:numPr>
          <w:ilvl w:val="0"/>
          <w:numId w:val="11"/>
        </w:numPr>
        <w:rPr>
          <w:lang w:val="en-GB"/>
        </w:rPr>
      </w:pPr>
      <w:r w:rsidRPr="00080145">
        <w:rPr>
          <w:rFonts w:eastAsia="Times New Roman"/>
          <w:color w:val="auto"/>
          <w:lang w:val="en-GB" w:eastAsia="en-GB"/>
        </w:rPr>
        <w:t xml:space="preserve">actual or suspected perpetrators </w:t>
      </w:r>
    </w:p>
    <w:p w14:paraId="306A51DC" w14:textId="499874AD" w:rsidR="007A4D46" w:rsidRPr="00080145" w:rsidRDefault="007A4D46" w:rsidP="007A4D46">
      <w:pPr>
        <w:pStyle w:val="Body"/>
        <w:numPr>
          <w:ilvl w:val="0"/>
          <w:numId w:val="11"/>
        </w:numPr>
        <w:rPr>
          <w:lang w:val="en-GB"/>
        </w:rPr>
      </w:pPr>
      <w:r w:rsidRPr="00080145">
        <w:rPr>
          <w:rFonts w:eastAsia="Times New Roman"/>
          <w:color w:val="auto"/>
          <w:lang w:val="en-GB" w:eastAsia="en-GB"/>
        </w:rPr>
        <w:t>professional adviser or consultant (eg doctor, lawyer)</w:t>
      </w:r>
    </w:p>
    <w:p w14:paraId="78C0DD1F" w14:textId="338C8856" w:rsidR="007A4D46" w:rsidRPr="00080145" w:rsidRDefault="007A4D46" w:rsidP="007A4D46">
      <w:pPr>
        <w:pStyle w:val="Body"/>
        <w:numPr>
          <w:ilvl w:val="0"/>
          <w:numId w:val="11"/>
        </w:numPr>
        <w:rPr>
          <w:lang w:val="en-GB"/>
        </w:rPr>
      </w:pPr>
      <w:r w:rsidRPr="00080145">
        <w:rPr>
          <w:rFonts w:eastAsia="Times New Roman"/>
          <w:color w:val="auto"/>
          <w:lang w:val="en-GB" w:eastAsia="en-GB"/>
        </w:rPr>
        <w:t>professional opinions of employees eg social workers and police officers</w:t>
      </w:r>
    </w:p>
    <w:p w14:paraId="1506F5EE" w14:textId="6699CC43" w:rsidR="007A4D46" w:rsidRPr="00080145" w:rsidRDefault="007A4D46" w:rsidP="007A4D46">
      <w:pPr>
        <w:pStyle w:val="Body"/>
        <w:numPr>
          <w:ilvl w:val="0"/>
          <w:numId w:val="11"/>
        </w:numPr>
        <w:rPr>
          <w:lang w:val="en-GB"/>
        </w:rPr>
      </w:pPr>
      <w:r w:rsidRPr="00080145">
        <w:rPr>
          <w:lang w:val="en-GB"/>
        </w:rPr>
        <w:t>witnesses</w:t>
      </w:r>
    </w:p>
    <w:p w14:paraId="353E21BF" w14:textId="5A9ED89E" w:rsidR="007A4D46" w:rsidRPr="00080145" w:rsidRDefault="007A4D46" w:rsidP="007A4D46">
      <w:pPr>
        <w:pStyle w:val="Body"/>
        <w:numPr>
          <w:ilvl w:val="0"/>
          <w:numId w:val="11"/>
        </w:numPr>
        <w:rPr>
          <w:lang w:val="en-GB"/>
        </w:rPr>
      </w:pPr>
      <w:r w:rsidRPr="00080145">
        <w:rPr>
          <w:lang w:val="en-GB"/>
        </w:rPr>
        <w:t>people captured on CCTV or similar</w:t>
      </w:r>
    </w:p>
    <w:p w14:paraId="16D99704" w14:textId="77777777" w:rsidR="0073690C" w:rsidRPr="00080145" w:rsidRDefault="0073690C" w:rsidP="002910C9">
      <w:pPr>
        <w:pStyle w:val="Body"/>
        <w:rPr>
          <w:color w:val="auto"/>
          <w:lang w:val="en-GB"/>
        </w:rPr>
      </w:pPr>
    </w:p>
    <w:p w14:paraId="1138D232" w14:textId="56FBD9A6" w:rsidR="002E0733" w:rsidRPr="00080145" w:rsidRDefault="007D022E" w:rsidP="002910C9">
      <w:pPr>
        <w:pStyle w:val="Body"/>
        <w:rPr>
          <w:color w:val="auto"/>
          <w:lang w:val="en-GB"/>
        </w:rPr>
      </w:pPr>
      <w:r w:rsidRPr="00080145">
        <w:rPr>
          <w:color w:val="auto"/>
          <w:lang w:val="en-GB"/>
        </w:rPr>
        <w:t>Many of the data subjects are vulnerable. Parties to this agreement are in positions of power over data subjects and data subjects have little or no control over why and how their data is processed.</w:t>
      </w:r>
    </w:p>
    <w:p w14:paraId="27A2B8DE" w14:textId="77777777" w:rsidR="007D022E" w:rsidRPr="00080145" w:rsidRDefault="007D022E" w:rsidP="002910C9">
      <w:pPr>
        <w:pStyle w:val="Body"/>
        <w:rPr>
          <w:color w:val="auto"/>
          <w:lang w:val="en-GB"/>
        </w:rPr>
      </w:pPr>
    </w:p>
    <w:p w14:paraId="0CE9A8A1" w14:textId="6039C76B" w:rsidR="00CB786D" w:rsidRPr="00080145" w:rsidRDefault="00CB786D" w:rsidP="007F1426">
      <w:pPr>
        <w:pStyle w:val="Heading1"/>
      </w:pPr>
      <w:bookmarkStart w:id="45" w:name="_Toc59206197"/>
      <w:r w:rsidRPr="00080145">
        <w:t>Data</w:t>
      </w:r>
      <w:bookmarkEnd w:id="45"/>
    </w:p>
    <w:p w14:paraId="12CF16F4" w14:textId="10557A19" w:rsidR="00AD0676" w:rsidRPr="00080145" w:rsidRDefault="007A07FD" w:rsidP="007A205C">
      <w:pPr>
        <w:pStyle w:val="Body"/>
        <w:rPr>
          <w:color w:val="auto"/>
          <w:szCs w:val="24"/>
          <w:lang w:val="en-GB"/>
        </w:rPr>
      </w:pPr>
      <w:r w:rsidRPr="00080145">
        <w:rPr>
          <w:color w:val="auto"/>
          <w:szCs w:val="24"/>
          <w:lang w:val="en-GB"/>
        </w:rPr>
        <w:t xml:space="preserve">The personal data </w:t>
      </w:r>
      <w:r w:rsidR="00357645" w:rsidRPr="00080145">
        <w:rPr>
          <w:color w:val="auto"/>
          <w:szCs w:val="24"/>
          <w:lang w:val="en-GB"/>
        </w:rPr>
        <w:t xml:space="preserve">and its processing </w:t>
      </w:r>
      <w:r w:rsidRPr="00080145">
        <w:rPr>
          <w:color w:val="auto"/>
          <w:szCs w:val="24"/>
          <w:lang w:val="en-GB"/>
        </w:rPr>
        <w:t xml:space="preserve">involved in these workstreams is extensive, highly sensitive and at times intrusive. </w:t>
      </w:r>
      <w:r w:rsidR="005B3C53" w:rsidRPr="00080145">
        <w:rPr>
          <w:color w:val="auto"/>
          <w:szCs w:val="24"/>
          <w:lang w:val="en-GB"/>
        </w:rPr>
        <w:t xml:space="preserve">There is a high volume of data and data subjects. </w:t>
      </w:r>
    </w:p>
    <w:p w14:paraId="7F790A06" w14:textId="77777777" w:rsidR="00400B30" w:rsidRPr="00080145" w:rsidRDefault="00400B30" w:rsidP="007A205C">
      <w:pPr>
        <w:pStyle w:val="Body"/>
        <w:rPr>
          <w:color w:val="auto"/>
          <w:szCs w:val="24"/>
          <w:lang w:val="en-GB"/>
        </w:rPr>
      </w:pPr>
    </w:p>
    <w:p w14:paraId="3F4EB747" w14:textId="73A441B1" w:rsidR="005B3C53" w:rsidRPr="00080145" w:rsidRDefault="005B3C53" w:rsidP="007A205C">
      <w:pPr>
        <w:pStyle w:val="Body"/>
        <w:rPr>
          <w:color w:val="auto"/>
          <w:szCs w:val="24"/>
          <w:lang w:val="en-GB"/>
        </w:rPr>
      </w:pPr>
      <w:r w:rsidRPr="00080145">
        <w:rPr>
          <w:color w:val="auto"/>
          <w:szCs w:val="24"/>
          <w:lang w:val="en-GB"/>
        </w:rPr>
        <w:t>Anonym</w:t>
      </w:r>
      <w:r w:rsidR="007E4257" w:rsidRPr="00080145">
        <w:rPr>
          <w:color w:val="auto"/>
          <w:szCs w:val="24"/>
          <w:lang w:val="en-GB"/>
        </w:rPr>
        <w:t>isa</w:t>
      </w:r>
      <w:r w:rsidRPr="00080145">
        <w:rPr>
          <w:color w:val="auto"/>
          <w:szCs w:val="24"/>
          <w:lang w:val="en-GB"/>
        </w:rPr>
        <w:t>tion or pseudonym</w:t>
      </w:r>
      <w:r w:rsidR="005E01CD" w:rsidRPr="00080145">
        <w:rPr>
          <w:color w:val="auto"/>
          <w:szCs w:val="24"/>
          <w:lang w:val="en-GB"/>
        </w:rPr>
        <w:t>isa</w:t>
      </w:r>
      <w:r w:rsidRPr="00080145">
        <w:rPr>
          <w:color w:val="auto"/>
          <w:szCs w:val="24"/>
          <w:lang w:val="en-GB"/>
        </w:rPr>
        <w:t>tion will rarely be possible because of the way the work focusses on individuals, although any statutory returns, workforce planning and management reports should be anonymised if possible.</w:t>
      </w:r>
    </w:p>
    <w:p w14:paraId="2D6A58DC" w14:textId="61828994" w:rsidR="007A07FD" w:rsidRPr="00080145" w:rsidRDefault="007A07FD" w:rsidP="007A205C">
      <w:pPr>
        <w:pStyle w:val="Body"/>
        <w:rPr>
          <w:color w:val="auto"/>
          <w:szCs w:val="24"/>
          <w:lang w:val="en-GB"/>
        </w:rPr>
      </w:pPr>
      <w:r w:rsidRPr="00080145">
        <w:rPr>
          <w:color w:val="auto"/>
          <w:szCs w:val="24"/>
          <w:lang w:val="en-GB"/>
        </w:rPr>
        <w:t>Information will include:</w:t>
      </w:r>
    </w:p>
    <w:p w14:paraId="675BE0B1" w14:textId="57D5711F" w:rsidR="007A07FD" w:rsidRPr="00080145" w:rsidRDefault="007A07FD" w:rsidP="007A07FD">
      <w:pPr>
        <w:pStyle w:val="Bodybullets"/>
        <w:tabs>
          <w:tab w:val="clear" w:pos="454"/>
          <w:tab w:val="num" w:pos="170"/>
        </w:tabs>
        <w:ind w:left="170"/>
        <w:rPr>
          <w:color w:val="auto"/>
          <w:szCs w:val="24"/>
          <w:lang w:val="en-GB"/>
        </w:rPr>
      </w:pPr>
      <w:r w:rsidRPr="00080145">
        <w:rPr>
          <w:b/>
          <w:color w:val="auto"/>
          <w:szCs w:val="24"/>
          <w:lang w:val="en-GB"/>
        </w:rPr>
        <w:t>Personal, special category and criminal data</w:t>
      </w:r>
      <w:r w:rsidRPr="00080145">
        <w:rPr>
          <w:color w:val="auto"/>
          <w:szCs w:val="24"/>
          <w:lang w:val="en-GB"/>
        </w:rPr>
        <w:t xml:space="preserve"> to enable the swift and effective safeguarding of children</w:t>
      </w:r>
      <w:r w:rsidR="0001515D" w:rsidRPr="00080145">
        <w:rPr>
          <w:color w:val="auto"/>
          <w:szCs w:val="24"/>
          <w:lang w:val="en-GB"/>
        </w:rPr>
        <w:t xml:space="preserve"> and improved safeguarding provision in the borough</w:t>
      </w:r>
    </w:p>
    <w:p w14:paraId="4AC7D964" w14:textId="4AF78393" w:rsidR="007A07FD" w:rsidRPr="00080145" w:rsidRDefault="007A07FD" w:rsidP="007A07FD">
      <w:pPr>
        <w:pStyle w:val="Bodybullets"/>
        <w:tabs>
          <w:tab w:val="clear" w:pos="454"/>
          <w:tab w:val="num" w:pos="170"/>
        </w:tabs>
        <w:ind w:left="170"/>
        <w:rPr>
          <w:color w:val="auto"/>
          <w:szCs w:val="24"/>
          <w:lang w:val="en-GB"/>
        </w:rPr>
      </w:pPr>
      <w:r w:rsidRPr="00080145">
        <w:rPr>
          <w:b/>
          <w:color w:val="auto"/>
          <w:szCs w:val="24"/>
          <w:lang w:val="en-GB"/>
        </w:rPr>
        <w:t>Personal, special category and criminal data</w:t>
      </w:r>
      <w:r w:rsidRPr="00080145">
        <w:rPr>
          <w:color w:val="auto"/>
          <w:szCs w:val="24"/>
          <w:lang w:val="en-GB"/>
        </w:rPr>
        <w:t xml:space="preserve"> </w:t>
      </w:r>
      <w:r w:rsidR="0001515D" w:rsidRPr="00080145">
        <w:rPr>
          <w:color w:val="auto"/>
          <w:szCs w:val="24"/>
          <w:lang w:val="en-GB"/>
        </w:rPr>
        <w:t>for law enforcement purposes</w:t>
      </w:r>
      <w:r w:rsidR="00400B30" w:rsidRPr="00080145">
        <w:rPr>
          <w:color w:val="auto"/>
          <w:szCs w:val="24"/>
          <w:lang w:val="en-GB"/>
        </w:rPr>
        <w:t xml:space="preserve">, including data defined as </w:t>
      </w:r>
      <w:r w:rsidR="00400B30" w:rsidRPr="00080145">
        <w:rPr>
          <w:b/>
          <w:bCs/>
          <w:color w:val="auto"/>
          <w:szCs w:val="24"/>
          <w:lang w:val="en-GB"/>
        </w:rPr>
        <w:t>sensitive data</w:t>
      </w:r>
      <w:r w:rsidR="00400B30" w:rsidRPr="00080145">
        <w:rPr>
          <w:color w:val="auto"/>
          <w:szCs w:val="24"/>
          <w:lang w:val="en-GB"/>
        </w:rPr>
        <w:t xml:space="preserve"> for the competent </w:t>
      </w:r>
      <w:r w:rsidR="00ED4BE3" w:rsidRPr="00080145">
        <w:rPr>
          <w:color w:val="auto"/>
          <w:szCs w:val="24"/>
          <w:lang w:val="en-GB"/>
        </w:rPr>
        <w:t>authorities for law enforcement purposes</w:t>
      </w:r>
    </w:p>
    <w:p w14:paraId="6FEBAB2A" w14:textId="555A0C6A" w:rsidR="007A07FD" w:rsidRPr="00080145" w:rsidRDefault="007A07FD" w:rsidP="007A07FD">
      <w:pPr>
        <w:pStyle w:val="Bodybullets"/>
        <w:tabs>
          <w:tab w:val="clear" w:pos="454"/>
          <w:tab w:val="num" w:pos="170"/>
        </w:tabs>
        <w:ind w:left="170"/>
        <w:rPr>
          <w:color w:val="auto"/>
          <w:lang w:val="en-GB"/>
        </w:rPr>
      </w:pPr>
      <w:r w:rsidRPr="00080145">
        <w:rPr>
          <w:b/>
          <w:color w:val="auto"/>
          <w:lang w:val="en-GB"/>
        </w:rPr>
        <w:t>Aggregated (anonymised or pseudonymised) data</w:t>
      </w:r>
      <w:r w:rsidRPr="00080145">
        <w:rPr>
          <w:color w:val="auto"/>
          <w:lang w:val="en-GB"/>
        </w:rPr>
        <w:t xml:space="preserve"> reporting to enable the partnership to further understand the safeguarding priorities.</w:t>
      </w:r>
    </w:p>
    <w:p w14:paraId="3F12624B" w14:textId="5F6332AC" w:rsidR="007A07FD" w:rsidRPr="00080145" w:rsidRDefault="007A07FD" w:rsidP="007A07FD">
      <w:pPr>
        <w:pStyle w:val="Bodybullets"/>
        <w:tabs>
          <w:tab w:val="clear" w:pos="454"/>
          <w:tab w:val="num" w:pos="170"/>
        </w:tabs>
        <w:ind w:left="170"/>
        <w:rPr>
          <w:rFonts w:ascii="Segoe UI" w:hAnsi="Segoe UI" w:cs="Segoe UI"/>
          <w:color w:val="auto"/>
          <w:lang w:val="en-GB"/>
        </w:rPr>
      </w:pPr>
      <w:r w:rsidRPr="00080145">
        <w:rPr>
          <w:rFonts w:ascii="Segoe UI" w:hAnsi="Segoe UI" w:cs="Segoe UI"/>
          <w:b/>
          <w:color w:val="auto"/>
          <w:lang w:val="en-GB"/>
        </w:rPr>
        <w:t>Aggregated (anonymised or pseudonymised) and personal data</w:t>
      </w:r>
      <w:r w:rsidRPr="00080145">
        <w:rPr>
          <w:rFonts w:ascii="Segoe UI" w:hAnsi="Segoe UI" w:cs="Segoe UI"/>
          <w:color w:val="auto"/>
          <w:lang w:val="en-GB"/>
        </w:rPr>
        <w:t xml:space="preserve"> regarding employees in relation to serious case reviews, investigations into allegations against staff, learning review and workforce development.</w:t>
      </w:r>
    </w:p>
    <w:p w14:paraId="7FC35680" w14:textId="284382CB" w:rsidR="007A07FD" w:rsidRPr="00080145" w:rsidRDefault="007A07FD" w:rsidP="007A07FD">
      <w:pPr>
        <w:pStyle w:val="Bodybullets"/>
        <w:tabs>
          <w:tab w:val="clear" w:pos="454"/>
          <w:tab w:val="num" w:pos="170"/>
        </w:tabs>
        <w:ind w:left="170"/>
        <w:rPr>
          <w:rFonts w:ascii="Segoe UI" w:hAnsi="Segoe UI" w:cs="Segoe UI"/>
          <w:color w:val="auto"/>
          <w:lang w:val="en-GB"/>
        </w:rPr>
      </w:pPr>
      <w:r w:rsidRPr="00080145">
        <w:rPr>
          <w:rFonts w:ascii="Segoe UI" w:hAnsi="Segoe UI" w:cs="Segoe UI"/>
          <w:b/>
          <w:color w:val="auto"/>
          <w:lang w:val="en-GB"/>
        </w:rPr>
        <w:t>Personal and anonymised data</w:t>
      </w:r>
      <w:r w:rsidRPr="00080145">
        <w:rPr>
          <w:rFonts w:ascii="Segoe UI" w:hAnsi="Segoe UI" w:cs="Segoe UI"/>
          <w:color w:val="auto"/>
          <w:lang w:val="en-GB"/>
        </w:rPr>
        <w:t xml:space="preserve"> required for statutory returns</w:t>
      </w:r>
      <w:r w:rsidR="0001515D" w:rsidRPr="00080145">
        <w:rPr>
          <w:rFonts w:ascii="Segoe UI" w:hAnsi="Segoe UI" w:cs="Segoe UI"/>
          <w:color w:val="auto"/>
          <w:lang w:val="en-GB"/>
        </w:rPr>
        <w:t>.</w:t>
      </w:r>
    </w:p>
    <w:p w14:paraId="52C4C678" w14:textId="765BBE4F" w:rsidR="00886B23" w:rsidRPr="00080145" w:rsidRDefault="00886B23" w:rsidP="007A205C">
      <w:pPr>
        <w:pStyle w:val="Body"/>
        <w:rPr>
          <w:rFonts w:ascii="Segoe UI" w:hAnsi="Segoe UI" w:cs="Segoe UI"/>
          <w:color w:val="auto"/>
          <w:lang w:val="en-GB"/>
        </w:rPr>
      </w:pPr>
    </w:p>
    <w:p w14:paraId="4E09B6AC" w14:textId="6E5DDE82" w:rsidR="002910C9" w:rsidRPr="00080145" w:rsidRDefault="002910C9" w:rsidP="002910C9">
      <w:pPr>
        <w:pStyle w:val="Heading2"/>
        <w:rPr>
          <w:lang w:val="en-GB"/>
        </w:rPr>
      </w:pPr>
      <w:bookmarkStart w:id="46" w:name="_Toc59206198"/>
      <w:r w:rsidRPr="00080145">
        <w:rPr>
          <w:lang w:val="en-GB"/>
        </w:rPr>
        <w:t>The data to be shared</w:t>
      </w:r>
      <w:bookmarkEnd w:id="46"/>
    </w:p>
    <w:p w14:paraId="6A7BDC36" w14:textId="77777777" w:rsidR="00790D9F" w:rsidRPr="00080145" w:rsidRDefault="002910C9" w:rsidP="00790D9F">
      <w:pPr>
        <w:pStyle w:val="Body"/>
        <w:rPr>
          <w:color w:val="auto"/>
          <w:lang w:val="en-GB"/>
        </w:rPr>
      </w:pPr>
      <w:r w:rsidRPr="00080145">
        <w:rPr>
          <w:lang w:val="en-GB"/>
        </w:rPr>
        <w:t xml:space="preserve">Due to the complexity of the MAS process, providing a prescriptive list of data fields to be shared is difficult. </w:t>
      </w:r>
      <w:r w:rsidR="00790D9F" w:rsidRPr="00080145">
        <w:rPr>
          <w:color w:val="auto"/>
          <w:lang w:val="en-GB"/>
        </w:rPr>
        <w:t>Not all the above information will be shared in every case; only relevant information will be shared on a case-by-case basis where an organisation has a ‘need-to-know’ the information.</w:t>
      </w:r>
    </w:p>
    <w:p w14:paraId="48C29893" w14:textId="77777777" w:rsidR="002910C9" w:rsidRPr="00080145" w:rsidRDefault="002910C9" w:rsidP="002910C9">
      <w:pPr>
        <w:pStyle w:val="Body"/>
        <w:rPr>
          <w:color w:val="auto"/>
          <w:lang w:val="en-GB"/>
        </w:rPr>
      </w:pPr>
      <w:r w:rsidRPr="00080145">
        <w:rPr>
          <w:color w:val="auto"/>
          <w:lang w:val="en-GB"/>
        </w:rPr>
        <w:t xml:space="preserve">Data that will be shared includes: </w:t>
      </w:r>
    </w:p>
    <w:p w14:paraId="1C58F6D2" w14:textId="6BBEE2E6" w:rsidR="007A4D46" w:rsidRPr="00080145" w:rsidRDefault="007D022E" w:rsidP="002910C9">
      <w:pPr>
        <w:pStyle w:val="Bodybullets"/>
        <w:tabs>
          <w:tab w:val="clear" w:pos="454"/>
          <w:tab w:val="num" w:pos="170"/>
        </w:tabs>
        <w:ind w:left="170"/>
        <w:rPr>
          <w:rFonts w:eastAsia="Times New Roman"/>
          <w:color w:val="auto"/>
          <w:lang w:val="en-GB" w:eastAsia="en-GB"/>
        </w:rPr>
      </w:pPr>
      <w:r w:rsidRPr="00080145">
        <w:rPr>
          <w:rFonts w:eastAsia="Times New Roman"/>
          <w:color w:val="auto"/>
          <w:lang w:val="en-GB" w:eastAsia="en-GB"/>
        </w:rPr>
        <w:t>n</w:t>
      </w:r>
      <w:r w:rsidR="002910C9" w:rsidRPr="00080145">
        <w:rPr>
          <w:rFonts w:eastAsia="Times New Roman"/>
          <w:color w:val="auto"/>
          <w:lang w:val="en-GB" w:eastAsia="en-GB"/>
        </w:rPr>
        <w:t xml:space="preserve">ame </w:t>
      </w:r>
      <w:r w:rsidR="007A4D46" w:rsidRPr="00080145">
        <w:rPr>
          <w:rFonts w:eastAsia="Times New Roman"/>
          <w:color w:val="auto"/>
          <w:lang w:val="en-GB" w:eastAsia="en-GB"/>
        </w:rPr>
        <w:t>and contact details</w:t>
      </w:r>
    </w:p>
    <w:p w14:paraId="59625796" w14:textId="2B2755D9" w:rsidR="002910C9" w:rsidRPr="00080145" w:rsidRDefault="007D022E" w:rsidP="002910C9">
      <w:pPr>
        <w:pStyle w:val="Bodybullets"/>
        <w:tabs>
          <w:tab w:val="clear" w:pos="454"/>
          <w:tab w:val="num" w:pos="170"/>
        </w:tabs>
        <w:ind w:left="170"/>
        <w:rPr>
          <w:rFonts w:eastAsia="Times New Roman"/>
          <w:color w:val="auto"/>
          <w:lang w:val="en-GB" w:eastAsia="en-GB"/>
        </w:rPr>
      </w:pPr>
      <w:r w:rsidRPr="00080145">
        <w:rPr>
          <w:rFonts w:eastAsia="Times New Roman"/>
          <w:color w:val="auto"/>
          <w:lang w:val="en-GB" w:eastAsia="en-GB"/>
        </w:rPr>
        <w:t>a</w:t>
      </w:r>
      <w:r w:rsidR="002910C9" w:rsidRPr="00080145">
        <w:rPr>
          <w:rFonts w:eastAsia="Times New Roman"/>
          <w:color w:val="auto"/>
          <w:lang w:val="en-GB" w:eastAsia="en-GB"/>
        </w:rPr>
        <w:t xml:space="preserve">ge/date of birth </w:t>
      </w:r>
    </w:p>
    <w:p w14:paraId="2CC70AE8" w14:textId="74FCB834" w:rsidR="002910C9" w:rsidRPr="00080145" w:rsidRDefault="007D022E" w:rsidP="002910C9">
      <w:pPr>
        <w:pStyle w:val="Bodybullets"/>
        <w:tabs>
          <w:tab w:val="clear" w:pos="454"/>
          <w:tab w:val="num" w:pos="170"/>
        </w:tabs>
        <w:ind w:left="170"/>
        <w:rPr>
          <w:rFonts w:eastAsia="Times New Roman"/>
          <w:color w:val="auto"/>
          <w:lang w:val="en-GB" w:eastAsia="en-GB"/>
        </w:rPr>
      </w:pPr>
      <w:r w:rsidRPr="00080145">
        <w:rPr>
          <w:rFonts w:eastAsia="Times New Roman"/>
          <w:color w:val="auto"/>
          <w:lang w:val="en-GB" w:eastAsia="en-GB"/>
        </w:rPr>
        <w:t>e</w:t>
      </w:r>
      <w:r w:rsidR="007A4D46" w:rsidRPr="00080145">
        <w:rPr>
          <w:rFonts w:eastAsia="Times New Roman"/>
          <w:color w:val="auto"/>
          <w:lang w:val="en-GB" w:eastAsia="en-GB"/>
        </w:rPr>
        <w:t>thnic origin</w:t>
      </w:r>
      <w:r w:rsidRPr="00080145">
        <w:rPr>
          <w:rFonts w:eastAsia="Times New Roman"/>
          <w:color w:val="auto"/>
          <w:lang w:val="en-GB" w:eastAsia="en-GB"/>
        </w:rPr>
        <w:t>,</w:t>
      </w:r>
      <w:r w:rsidR="007A4D46" w:rsidRPr="00080145">
        <w:rPr>
          <w:rFonts w:eastAsia="Times New Roman"/>
          <w:color w:val="auto"/>
          <w:lang w:val="en-GB" w:eastAsia="en-GB"/>
        </w:rPr>
        <w:t xml:space="preserve"> religion</w:t>
      </w:r>
      <w:r w:rsidRPr="00080145">
        <w:rPr>
          <w:rFonts w:eastAsia="Times New Roman"/>
          <w:color w:val="auto"/>
          <w:lang w:val="en-GB" w:eastAsia="en-GB"/>
        </w:rPr>
        <w:t xml:space="preserve"> and other equalities information</w:t>
      </w:r>
    </w:p>
    <w:p w14:paraId="6AFA31F5" w14:textId="2DFA7A5F" w:rsidR="002910C9" w:rsidRPr="00080145" w:rsidRDefault="007D022E" w:rsidP="002910C9">
      <w:pPr>
        <w:pStyle w:val="Bodybullets"/>
        <w:tabs>
          <w:tab w:val="clear" w:pos="454"/>
          <w:tab w:val="num" w:pos="170"/>
        </w:tabs>
        <w:ind w:left="170"/>
        <w:rPr>
          <w:rFonts w:eastAsia="Times New Roman"/>
          <w:color w:val="auto"/>
          <w:lang w:val="en-GB" w:eastAsia="en-GB"/>
        </w:rPr>
      </w:pPr>
      <w:r w:rsidRPr="00080145">
        <w:rPr>
          <w:rFonts w:eastAsia="Times New Roman"/>
          <w:color w:val="auto"/>
          <w:lang w:val="en-GB" w:eastAsia="en-GB"/>
        </w:rPr>
        <w:t>c</w:t>
      </w:r>
      <w:r w:rsidR="002910C9" w:rsidRPr="00080145">
        <w:rPr>
          <w:rFonts w:eastAsia="Times New Roman"/>
          <w:color w:val="auto"/>
          <w:lang w:val="en-GB" w:eastAsia="en-GB"/>
        </w:rPr>
        <w:t>riminal information on allegations and convictions, police information an</w:t>
      </w:r>
      <w:r w:rsidR="007A4D46" w:rsidRPr="00080145">
        <w:rPr>
          <w:rFonts w:eastAsia="Times New Roman"/>
          <w:color w:val="auto"/>
          <w:lang w:val="en-GB" w:eastAsia="en-GB"/>
        </w:rPr>
        <w:t xml:space="preserve">d intelligence, </w:t>
      </w:r>
      <w:r w:rsidR="002910C9" w:rsidRPr="00080145">
        <w:rPr>
          <w:rFonts w:eastAsia="Times New Roman"/>
          <w:color w:val="auto"/>
          <w:lang w:val="en-GB" w:eastAsia="en-GB"/>
        </w:rPr>
        <w:t>information from the London Fire Brigade</w:t>
      </w:r>
      <w:r w:rsidR="007A4D46" w:rsidRPr="00080145">
        <w:rPr>
          <w:rFonts w:eastAsia="Times New Roman"/>
          <w:color w:val="auto"/>
          <w:lang w:val="en-GB" w:eastAsia="en-GB"/>
        </w:rPr>
        <w:t>, anti-social behaviour (ASB) data</w:t>
      </w:r>
    </w:p>
    <w:p w14:paraId="1B5B6F61" w14:textId="413A2056" w:rsidR="002910C9" w:rsidRPr="00080145" w:rsidRDefault="007D022E" w:rsidP="002910C9">
      <w:pPr>
        <w:pStyle w:val="Bodybullets"/>
        <w:tabs>
          <w:tab w:val="clear" w:pos="454"/>
          <w:tab w:val="num" w:pos="170"/>
        </w:tabs>
        <w:ind w:left="170"/>
        <w:rPr>
          <w:rFonts w:eastAsia="Times New Roman"/>
          <w:color w:val="auto"/>
          <w:lang w:val="en-GB" w:eastAsia="en-GB"/>
        </w:rPr>
      </w:pPr>
      <w:r w:rsidRPr="00080145">
        <w:rPr>
          <w:rFonts w:eastAsia="Times New Roman"/>
          <w:color w:val="auto"/>
          <w:lang w:val="en-GB" w:eastAsia="en-GB"/>
        </w:rPr>
        <w:t>s</w:t>
      </w:r>
      <w:r w:rsidR="002910C9" w:rsidRPr="00080145">
        <w:rPr>
          <w:rFonts w:eastAsia="Times New Roman"/>
          <w:color w:val="auto"/>
          <w:lang w:val="en-GB" w:eastAsia="en-GB"/>
        </w:rPr>
        <w:t>chool and educational information</w:t>
      </w:r>
    </w:p>
    <w:p w14:paraId="56967FBF" w14:textId="3A4BD3BB" w:rsidR="007A4D46" w:rsidRPr="00080145" w:rsidRDefault="007A4D46" w:rsidP="002910C9">
      <w:pPr>
        <w:pStyle w:val="Bodybullets"/>
        <w:tabs>
          <w:tab w:val="clear" w:pos="454"/>
          <w:tab w:val="num" w:pos="170"/>
        </w:tabs>
        <w:ind w:left="170"/>
        <w:rPr>
          <w:rFonts w:eastAsia="Times New Roman"/>
          <w:color w:val="auto"/>
          <w:lang w:val="en-GB" w:eastAsia="en-GB"/>
        </w:rPr>
      </w:pPr>
      <w:r w:rsidRPr="00080145">
        <w:rPr>
          <w:rFonts w:eastAsia="Times New Roman"/>
          <w:color w:val="auto"/>
          <w:lang w:val="en-GB" w:eastAsia="en-GB"/>
        </w:rPr>
        <w:t xml:space="preserve">health records including </w:t>
      </w:r>
      <w:r w:rsidR="007D022E" w:rsidRPr="00080145">
        <w:rPr>
          <w:rFonts w:eastAsia="Times New Roman"/>
          <w:color w:val="auto"/>
          <w:lang w:val="en-GB" w:eastAsia="en-GB"/>
        </w:rPr>
        <w:t xml:space="preserve">NHS number, </w:t>
      </w:r>
      <w:r w:rsidR="002910C9" w:rsidRPr="00080145">
        <w:rPr>
          <w:rFonts w:eastAsia="Times New Roman"/>
          <w:color w:val="auto"/>
          <w:lang w:val="en-GB" w:eastAsia="en-GB"/>
        </w:rPr>
        <w:t xml:space="preserve">GP, London Ambulance Service and other </w:t>
      </w:r>
    </w:p>
    <w:p w14:paraId="1DCC9AF5" w14:textId="400B69DA" w:rsidR="002910C9" w:rsidRPr="00080145" w:rsidRDefault="007D022E" w:rsidP="002910C9">
      <w:pPr>
        <w:pStyle w:val="Bodybullets"/>
        <w:tabs>
          <w:tab w:val="clear" w:pos="454"/>
          <w:tab w:val="num" w:pos="170"/>
        </w:tabs>
        <w:ind w:left="170"/>
        <w:rPr>
          <w:rFonts w:eastAsia="Times New Roman"/>
          <w:color w:val="auto"/>
          <w:lang w:val="en-GB" w:eastAsia="en-GB"/>
        </w:rPr>
      </w:pPr>
      <w:r w:rsidRPr="00080145">
        <w:rPr>
          <w:rFonts w:eastAsia="Times New Roman"/>
          <w:color w:val="auto"/>
          <w:lang w:val="en-GB" w:eastAsia="en-GB"/>
        </w:rPr>
        <w:t>i</w:t>
      </w:r>
      <w:r w:rsidR="002910C9" w:rsidRPr="00080145">
        <w:rPr>
          <w:rFonts w:eastAsia="Times New Roman"/>
          <w:color w:val="auto"/>
          <w:lang w:val="en-GB" w:eastAsia="en-GB"/>
        </w:rPr>
        <w:t xml:space="preserve">nformation on sex life and sexual orientation </w:t>
      </w:r>
    </w:p>
    <w:p w14:paraId="2B568A29" w14:textId="0CF1A052" w:rsidR="002910C9" w:rsidRPr="00080145" w:rsidRDefault="007D022E" w:rsidP="002910C9">
      <w:pPr>
        <w:pStyle w:val="Bodybullets"/>
        <w:tabs>
          <w:tab w:val="clear" w:pos="454"/>
          <w:tab w:val="num" w:pos="170"/>
        </w:tabs>
        <w:ind w:left="170"/>
        <w:rPr>
          <w:rFonts w:eastAsia="Times New Roman"/>
          <w:color w:val="auto"/>
          <w:lang w:val="en-GB" w:eastAsia="en-GB"/>
        </w:rPr>
      </w:pPr>
      <w:r w:rsidRPr="00080145">
        <w:rPr>
          <w:rFonts w:eastAsia="Times New Roman"/>
          <w:color w:val="auto"/>
          <w:lang w:val="en-GB" w:eastAsia="en-GB"/>
        </w:rPr>
        <w:t>h</w:t>
      </w:r>
      <w:r w:rsidR="007A4D46" w:rsidRPr="00080145">
        <w:rPr>
          <w:rFonts w:eastAsia="Times New Roman"/>
          <w:color w:val="auto"/>
          <w:lang w:val="en-GB" w:eastAsia="en-GB"/>
        </w:rPr>
        <w:t xml:space="preserve">ousing </w:t>
      </w:r>
      <w:r w:rsidRPr="00080145">
        <w:rPr>
          <w:rFonts w:eastAsia="Times New Roman"/>
          <w:color w:val="auto"/>
          <w:lang w:val="en-GB" w:eastAsia="en-GB"/>
        </w:rPr>
        <w:t>information</w:t>
      </w:r>
      <w:r w:rsidR="002910C9" w:rsidRPr="00080145">
        <w:rPr>
          <w:rFonts w:eastAsia="Times New Roman"/>
          <w:color w:val="auto"/>
          <w:lang w:val="en-GB" w:eastAsia="en-GB"/>
        </w:rPr>
        <w:t xml:space="preserve"> </w:t>
      </w:r>
    </w:p>
    <w:p w14:paraId="47F1DFA5" w14:textId="461CC1A1" w:rsidR="007A4D46" w:rsidRPr="00080145" w:rsidRDefault="007A4D46" w:rsidP="002910C9">
      <w:pPr>
        <w:pStyle w:val="Bodybullets"/>
        <w:tabs>
          <w:tab w:val="clear" w:pos="454"/>
          <w:tab w:val="num" w:pos="170"/>
        </w:tabs>
        <w:ind w:left="170"/>
        <w:rPr>
          <w:rFonts w:eastAsia="Times New Roman"/>
          <w:color w:val="auto"/>
          <w:lang w:val="en-GB" w:eastAsia="en-GB"/>
        </w:rPr>
      </w:pPr>
      <w:r w:rsidRPr="00080145">
        <w:rPr>
          <w:rFonts w:eastAsia="Times New Roman"/>
          <w:color w:val="auto"/>
          <w:lang w:val="en-GB" w:eastAsia="en-GB"/>
        </w:rPr>
        <w:t>social services information, referrals and assessments</w:t>
      </w:r>
    </w:p>
    <w:p w14:paraId="669A1A2E" w14:textId="0BA4A6B7" w:rsidR="007A4D46" w:rsidRPr="00080145" w:rsidRDefault="007A4D46" w:rsidP="002910C9">
      <w:pPr>
        <w:pStyle w:val="Bodybullets"/>
        <w:tabs>
          <w:tab w:val="clear" w:pos="454"/>
          <w:tab w:val="num" w:pos="170"/>
        </w:tabs>
        <w:ind w:left="170"/>
        <w:rPr>
          <w:rFonts w:eastAsia="Times New Roman"/>
          <w:color w:val="auto"/>
          <w:lang w:val="en-GB" w:eastAsia="en-GB"/>
        </w:rPr>
      </w:pPr>
      <w:r w:rsidRPr="00080145">
        <w:rPr>
          <w:rFonts w:eastAsia="Times New Roman"/>
          <w:color w:val="auto"/>
          <w:lang w:val="en-GB" w:eastAsia="en-GB"/>
        </w:rPr>
        <w:lastRenderedPageBreak/>
        <w:t>financial information</w:t>
      </w:r>
    </w:p>
    <w:p w14:paraId="469C6FAE" w14:textId="4F8864BD" w:rsidR="007A4D46" w:rsidRPr="00080145" w:rsidRDefault="007D022E" w:rsidP="007D022E">
      <w:pPr>
        <w:pStyle w:val="Bodybullets"/>
        <w:tabs>
          <w:tab w:val="clear" w:pos="454"/>
        </w:tabs>
        <w:ind w:left="142"/>
        <w:rPr>
          <w:rFonts w:eastAsia="Times New Roman"/>
          <w:color w:val="auto"/>
          <w:lang w:val="en-GB" w:eastAsia="en-GB"/>
        </w:rPr>
      </w:pPr>
      <w:r w:rsidRPr="00080145">
        <w:rPr>
          <w:rFonts w:eastAsia="Times New Roman"/>
          <w:color w:val="auto"/>
          <w:lang w:val="en-GB" w:eastAsia="en-GB"/>
        </w:rPr>
        <w:t>images in photographs, film or CCTV</w:t>
      </w:r>
    </w:p>
    <w:p w14:paraId="3E8D8D63" w14:textId="45AE6D4F" w:rsidR="007D022E" w:rsidRPr="00080145" w:rsidRDefault="007D022E" w:rsidP="007D022E">
      <w:pPr>
        <w:pStyle w:val="Bodybullets"/>
        <w:tabs>
          <w:tab w:val="clear" w:pos="454"/>
        </w:tabs>
        <w:ind w:left="142"/>
        <w:rPr>
          <w:rFonts w:eastAsia="Times New Roman"/>
          <w:color w:val="auto"/>
          <w:lang w:val="en-GB" w:eastAsia="en-GB"/>
        </w:rPr>
      </w:pPr>
      <w:r w:rsidRPr="00080145">
        <w:rPr>
          <w:rFonts w:eastAsia="Times New Roman"/>
          <w:color w:val="auto"/>
          <w:lang w:val="en-GB" w:eastAsia="en-GB"/>
        </w:rPr>
        <w:t>employment information</w:t>
      </w:r>
    </w:p>
    <w:p w14:paraId="31FF0097" w14:textId="77777777" w:rsidR="002910C9" w:rsidRPr="00080145" w:rsidRDefault="002910C9" w:rsidP="002910C9">
      <w:pPr>
        <w:pStyle w:val="Body"/>
        <w:rPr>
          <w:color w:val="auto"/>
          <w:lang w:val="en-GB"/>
        </w:rPr>
      </w:pPr>
    </w:p>
    <w:p w14:paraId="4816FB17" w14:textId="585387FB" w:rsidR="007A07FD" w:rsidRPr="00080145" w:rsidRDefault="007A07FD" w:rsidP="002E0733">
      <w:pPr>
        <w:pStyle w:val="Heading2"/>
        <w:rPr>
          <w:lang w:val="en-GB"/>
        </w:rPr>
      </w:pPr>
      <w:bookmarkStart w:id="47" w:name="_Toc51582912"/>
      <w:bookmarkStart w:id="48" w:name="_Toc59206199"/>
      <w:r w:rsidRPr="00080145">
        <w:rPr>
          <w:lang w:val="en-GB"/>
        </w:rPr>
        <w:t>Deceased persons</w:t>
      </w:r>
      <w:bookmarkEnd w:id="47"/>
      <w:bookmarkEnd w:id="48"/>
      <w:r w:rsidRPr="00080145">
        <w:rPr>
          <w:lang w:val="en-GB"/>
        </w:rPr>
        <w:t xml:space="preserve"> </w:t>
      </w:r>
    </w:p>
    <w:p w14:paraId="179497FB" w14:textId="7DDE349A" w:rsidR="007A07FD" w:rsidRPr="00080145" w:rsidRDefault="007A07FD" w:rsidP="007A07FD">
      <w:pPr>
        <w:pStyle w:val="Body"/>
        <w:rPr>
          <w:rFonts w:eastAsia="Times New Roman"/>
          <w:color w:val="auto"/>
          <w:lang w:val="en-GB" w:eastAsia="en-GB"/>
        </w:rPr>
      </w:pPr>
      <w:r w:rsidRPr="00080145">
        <w:rPr>
          <w:rFonts w:eastAsia="Times New Roman"/>
          <w:color w:val="auto"/>
          <w:lang w:val="en-GB" w:eastAsia="en-GB"/>
        </w:rPr>
        <w:t xml:space="preserve">It is noted that the </w:t>
      </w:r>
      <w:r w:rsidR="00790D9F" w:rsidRPr="00080145">
        <w:rPr>
          <w:rFonts w:eastAsia="Times New Roman"/>
          <w:color w:val="auto"/>
          <w:lang w:val="en-GB" w:eastAsia="en-GB"/>
        </w:rPr>
        <w:t>sharing will involve data of</w:t>
      </w:r>
      <w:r w:rsidRPr="00080145">
        <w:rPr>
          <w:rFonts w:eastAsia="Times New Roman"/>
          <w:color w:val="auto"/>
          <w:lang w:val="en-GB" w:eastAsia="en-GB"/>
        </w:rPr>
        <w:t xml:space="preserve"> deceased persons. This data will not be covered by data protection </w:t>
      </w:r>
      <w:r w:rsidR="00C24B94" w:rsidRPr="00080145">
        <w:rPr>
          <w:rFonts w:eastAsia="Times New Roman"/>
          <w:color w:val="auto"/>
          <w:lang w:val="en-GB" w:eastAsia="en-GB"/>
        </w:rPr>
        <w:t>legislation but</w:t>
      </w:r>
      <w:r w:rsidR="00790D9F" w:rsidRPr="00080145">
        <w:rPr>
          <w:rFonts w:eastAsia="Times New Roman"/>
          <w:color w:val="auto"/>
          <w:lang w:val="en-GB" w:eastAsia="en-GB"/>
        </w:rPr>
        <w:t xml:space="preserve"> will still require</w:t>
      </w:r>
      <w:r w:rsidRPr="00080145">
        <w:rPr>
          <w:rFonts w:eastAsia="Times New Roman"/>
          <w:color w:val="auto"/>
          <w:lang w:val="en-GB" w:eastAsia="en-GB"/>
        </w:rPr>
        <w:t xml:space="preserve"> due regard to the common law duty of confidentiality and the Human Rights Act. </w:t>
      </w:r>
    </w:p>
    <w:p w14:paraId="4F0F45B1" w14:textId="307320E0" w:rsidR="007A07FD" w:rsidRPr="00080145" w:rsidRDefault="007A07FD" w:rsidP="007A07FD">
      <w:pPr>
        <w:pStyle w:val="Body"/>
        <w:rPr>
          <w:rFonts w:eastAsia="Times New Roman"/>
          <w:color w:val="auto"/>
          <w:lang w:val="en-GB" w:eastAsia="en-GB"/>
        </w:rPr>
      </w:pPr>
    </w:p>
    <w:p w14:paraId="4BC0FB41" w14:textId="24247A1F" w:rsidR="007A07FD" w:rsidRPr="00080145" w:rsidRDefault="007A07FD" w:rsidP="002E0733">
      <w:pPr>
        <w:pStyle w:val="Heading2"/>
        <w:rPr>
          <w:lang w:val="en-GB"/>
        </w:rPr>
      </w:pPr>
      <w:bookmarkStart w:id="49" w:name="_Toc51582913"/>
      <w:bookmarkStart w:id="50" w:name="_Toc59206200"/>
      <w:r w:rsidRPr="00080145">
        <w:rPr>
          <w:lang w:val="en-GB"/>
        </w:rPr>
        <w:t>Confidential information</w:t>
      </w:r>
      <w:bookmarkEnd w:id="49"/>
      <w:bookmarkEnd w:id="50"/>
    </w:p>
    <w:p w14:paraId="06B00FF8" w14:textId="4CA7C300" w:rsidR="007A07FD" w:rsidRPr="00080145" w:rsidRDefault="007A07FD" w:rsidP="007A07FD">
      <w:pPr>
        <w:pStyle w:val="Body"/>
        <w:rPr>
          <w:rFonts w:eastAsia="Times New Roman"/>
          <w:color w:val="auto"/>
          <w:lang w:val="en-GB" w:eastAsia="en-GB"/>
        </w:rPr>
      </w:pPr>
      <w:r w:rsidRPr="00080145">
        <w:rPr>
          <w:rFonts w:eastAsia="Times New Roman"/>
          <w:color w:val="auto"/>
          <w:lang w:val="en-GB" w:eastAsia="en-GB"/>
        </w:rPr>
        <w:t xml:space="preserve">In this agreement, we refer to personal data, as defined by data protection legislation. However, the word ’confidential’ may be used by individuals and practitioners to describe information and can mean different things to different people. </w:t>
      </w:r>
    </w:p>
    <w:p w14:paraId="1001F1C6" w14:textId="244342AC" w:rsidR="007A07FD" w:rsidRPr="00080145" w:rsidRDefault="007A07FD" w:rsidP="007A07FD">
      <w:pPr>
        <w:pStyle w:val="Body"/>
        <w:rPr>
          <w:rFonts w:eastAsia="Times New Roman"/>
          <w:color w:val="auto"/>
          <w:lang w:val="en-GB" w:eastAsia="en-GB"/>
        </w:rPr>
      </w:pPr>
      <w:r w:rsidRPr="00080145">
        <w:rPr>
          <w:rFonts w:eastAsia="Times New Roman"/>
          <w:color w:val="auto"/>
          <w:lang w:val="en-GB" w:eastAsia="en-GB"/>
        </w:rPr>
        <w:t>Confidential can mean:</w:t>
      </w:r>
    </w:p>
    <w:p w14:paraId="43617DED" w14:textId="65444A88" w:rsidR="007A07FD" w:rsidRPr="00080145" w:rsidRDefault="00AF23B2" w:rsidP="007A07FD">
      <w:pPr>
        <w:pStyle w:val="Bodybullets"/>
        <w:tabs>
          <w:tab w:val="clear" w:pos="454"/>
          <w:tab w:val="num" w:pos="170"/>
        </w:tabs>
        <w:ind w:left="170"/>
        <w:rPr>
          <w:color w:val="auto"/>
          <w:lang w:val="en-GB"/>
        </w:rPr>
      </w:pPr>
      <w:r w:rsidRPr="00080145">
        <w:rPr>
          <w:color w:val="auto"/>
          <w:lang w:val="en-GB"/>
        </w:rPr>
        <w:t xml:space="preserve">Personal and special category data as defined by data protection legislation </w:t>
      </w:r>
    </w:p>
    <w:p w14:paraId="07EC3766" w14:textId="25FC3204" w:rsidR="00AF23B2" w:rsidRPr="00080145" w:rsidRDefault="00AF23B2" w:rsidP="007A07FD">
      <w:pPr>
        <w:pStyle w:val="Bodybullets"/>
        <w:tabs>
          <w:tab w:val="clear" w:pos="454"/>
          <w:tab w:val="num" w:pos="170"/>
        </w:tabs>
        <w:ind w:left="170"/>
        <w:rPr>
          <w:color w:val="auto"/>
          <w:lang w:val="en-GB"/>
        </w:rPr>
      </w:pPr>
      <w:r w:rsidRPr="00080145">
        <w:rPr>
          <w:color w:val="auto"/>
          <w:lang w:val="en-GB"/>
        </w:rPr>
        <w:t xml:space="preserve">Patient Identifiable Information (PII) or ‘personal confidential information’; both terms most commonly used in health settings </w:t>
      </w:r>
    </w:p>
    <w:p w14:paraId="57179739" w14:textId="0FECAF30" w:rsidR="00AF23B2" w:rsidRPr="00080145" w:rsidRDefault="00AF23B2" w:rsidP="007A07FD">
      <w:pPr>
        <w:pStyle w:val="Bodybullets"/>
        <w:tabs>
          <w:tab w:val="clear" w:pos="454"/>
          <w:tab w:val="num" w:pos="170"/>
        </w:tabs>
        <w:ind w:left="170"/>
        <w:rPr>
          <w:color w:val="auto"/>
          <w:lang w:val="en-GB"/>
        </w:rPr>
      </w:pPr>
      <w:r w:rsidRPr="00080145">
        <w:rPr>
          <w:color w:val="auto"/>
          <w:lang w:val="en-GB"/>
        </w:rPr>
        <w:t xml:space="preserve">Information which is not already lawfully in the public domain or readily available from another public source </w:t>
      </w:r>
    </w:p>
    <w:p w14:paraId="060983E8" w14:textId="6C5B8678" w:rsidR="00AF23B2" w:rsidRPr="00080145" w:rsidRDefault="00AF23B2" w:rsidP="007A07FD">
      <w:pPr>
        <w:pStyle w:val="Bodybullets"/>
        <w:tabs>
          <w:tab w:val="clear" w:pos="454"/>
          <w:tab w:val="num" w:pos="170"/>
        </w:tabs>
        <w:ind w:left="170"/>
        <w:rPr>
          <w:color w:val="auto"/>
          <w:szCs w:val="24"/>
          <w:lang w:val="en-GB"/>
        </w:rPr>
      </w:pPr>
      <w:r w:rsidRPr="00080145">
        <w:rPr>
          <w:rFonts w:eastAsia="Times New Roman"/>
          <w:color w:val="auto"/>
          <w:szCs w:val="24"/>
          <w:lang w:val="en-GB" w:eastAsia="en-GB"/>
        </w:rPr>
        <w:t>Information that has been provided in circumstances where the person giving the information could reasonably expect that it would not be shared with others.</w:t>
      </w:r>
    </w:p>
    <w:p w14:paraId="0E42A60E" w14:textId="54317C64" w:rsidR="00AF23B2" w:rsidRPr="00080145" w:rsidRDefault="00AF23B2" w:rsidP="00AF23B2">
      <w:pPr>
        <w:pStyle w:val="Bodybullets"/>
        <w:numPr>
          <w:ilvl w:val="0"/>
          <w:numId w:val="0"/>
        </w:numPr>
        <w:ind w:left="454" w:hanging="170"/>
        <w:rPr>
          <w:rFonts w:eastAsia="Times New Roman"/>
          <w:color w:val="auto"/>
          <w:lang w:val="en-GB" w:eastAsia="en-GB"/>
        </w:rPr>
      </w:pPr>
    </w:p>
    <w:p w14:paraId="5C26E145" w14:textId="6CDDC1DC" w:rsidR="008E0FFA" w:rsidRPr="00080145" w:rsidRDefault="005D5DC9" w:rsidP="00DC3241">
      <w:pPr>
        <w:pStyle w:val="Heading2"/>
        <w:rPr>
          <w:lang w:val="en-GB"/>
        </w:rPr>
      </w:pPr>
      <w:bookmarkStart w:id="51" w:name="_Toc51582920"/>
      <w:bookmarkStart w:id="52" w:name="_Toc59206201"/>
      <w:r w:rsidRPr="00080145">
        <w:rPr>
          <w:lang w:val="en-GB"/>
        </w:rPr>
        <w:t>S</w:t>
      </w:r>
      <w:r w:rsidR="00F26927" w:rsidRPr="00080145">
        <w:rPr>
          <w:lang w:val="en-GB"/>
        </w:rPr>
        <w:t xml:space="preserve">toring and </w:t>
      </w:r>
      <w:r w:rsidRPr="00080145">
        <w:rPr>
          <w:lang w:val="en-GB"/>
        </w:rPr>
        <w:t>ha</w:t>
      </w:r>
      <w:r w:rsidR="009E1A1B" w:rsidRPr="00080145">
        <w:rPr>
          <w:lang w:val="en-GB"/>
        </w:rPr>
        <w:t>ndl</w:t>
      </w:r>
      <w:r w:rsidRPr="00080145">
        <w:rPr>
          <w:lang w:val="en-GB"/>
        </w:rPr>
        <w:t>ing information securely</w:t>
      </w:r>
      <w:bookmarkEnd w:id="51"/>
      <w:bookmarkEnd w:id="52"/>
    </w:p>
    <w:p w14:paraId="36A46396" w14:textId="24A21B98" w:rsidR="005D5DC9" w:rsidRPr="00080145" w:rsidRDefault="005D5DC9" w:rsidP="005D5DC9">
      <w:pPr>
        <w:pStyle w:val="Body"/>
        <w:rPr>
          <w:color w:val="auto"/>
          <w:lang w:val="en-GB" w:eastAsia="en-GB"/>
        </w:rPr>
      </w:pPr>
      <w:r w:rsidRPr="00080145">
        <w:rPr>
          <w:color w:val="auto"/>
          <w:lang w:val="en-GB" w:eastAsia="en-GB"/>
        </w:rPr>
        <w:t xml:space="preserve">Information should only be </w:t>
      </w:r>
      <w:r w:rsidR="00F26927" w:rsidRPr="00080145">
        <w:rPr>
          <w:color w:val="auto"/>
          <w:lang w:val="en-GB" w:eastAsia="en-GB"/>
        </w:rPr>
        <w:t xml:space="preserve">stored and </w:t>
      </w:r>
      <w:r w:rsidRPr="00080145">
        <w:rPr>
          <w:color w:val="auto"/>
          <w:lang w:val="en-GB" w:eastAsia="en-GB"/>
        </w:rPr>
        <w:t>shared in accordance with data protection legislation and follow information security policies and procedures of the relevant organ</w:t>
      </w:r>
      <w:r w:rsidR="003E0DC6" w:rsidRPr="00080145">
        <w:rPr>
          <w:color w:val="auto"/>
          <w:lang w:val="en-GB" w:eastAsia="en-GB"/>
        </w:rPr>
        <w:t>isa</w:t>
      </w:r>
      <w:r w:rsidRPr="00080145">
        <w:rPr>
          <w:color w:val="auto"/>
          <w:lang w:val="en-GB" w:eastAsia="en-GB"/>
        </w:rPr>
        <w:t xml:space="preserve">tion. </w:t>
      </w:r>
    </w:p>
    <w:p w14:paraId="31DD3257" w14:textId="183829AB" w:rsidR="00790D9F" w:rsidRPr="00080145" w:rsidRDefault="00790D9F" w:rsidP="00790D9F">
      <w:pPr>
        <w:pStyle w:val="Body"/>
        <w:rPr>
          <w:rFonts w:eastAsia="Times New Roman"/>
          <w:color w:val="auto"/>
          <w:lang w:val="en-GB" w:eastAsia="en-GB"/>
        </w:rPr>
      </w:pPr>
      <w:r w:rsidRPr="00080145">
        <w:rPr>
          <w:rFonts w:eastAsia="Times New Roman"/>
          <w:color w:val="auto"/>
          <w:lang w:val="en-GB" w:eastAsia="en-GB"/>
        </w:rPr>
        <w:t>Information should always be shared securely, either by a secure IT connection, encrypted email, or secure and tracked transfer of paper documents. Information should never be sent via a non-secure method. The employee/organisation sending the information must chose the most appropriate method of transfer and be responsible for its safe delivery.</w:t>
      </w:r>
    </w:p>
    <w:p w14:paraId="287716A2" w14:textId="4DE7EC29" w:rsidR="00790D9F" w:rsidRPr="00080145" w:rsidRDefault="005D5DC9" w:rsidP="005D5DC9">
      <w:pPr>
        <w:pStyle w:val="Body"/>
        <w:rPr>
          <w:color w:val="auto"/>
          <w:lang w:val="en-GB"/>
        </w:rPr>
      </w:pPr>
      <w:r w:rsidRPr="00080145">
        <w:rPr>
          <w:color w:val="auto"/>
          <w:lang w:val="en-GB"/>
        </w:rPr>
        <w:t>Email is not generally a secure method of transferring personal data</w:t>
      </w:r>
      <w:r w:rsidR="00790D9F" w:rsidRPr="00080145">
        <w:rPr>
          <w:color w:val="auto"/>
          <w:lang w:val="en-GB"/>
        </w:rPr>
        <w:t xml:space="preserve">. Although two or more of the parties may have additional encryption that allows for an encrypted path between two of the parties, this cannot be identified simply from the email address. It would be prudent for parties to establish whether there are any encrypted paths between them, and write that into the organisation’s processes for employees. </w:t>
      </w:r>
    </w:p>
    <w:p w14:paraId="59F8E9D4" w14:textId="300E9558" w:rsidR="001E4879" w:rsidRPr="00080145" w:rsidRDefault="00790D9F" w:rsidP="005D5DC9">
      <w:pPr>
        <w:pStyle w:val="Body"/>
        <w:rPr>
          <w:rFonts w:eastAsia="Times New Roman"/>
          <w:color w:val="auto"/>
          <w:lang w:val="en-GB" w:eastAsia="en-GB"/>
        </w:rPr>
      </w:pPr>
      <w:r w:rsidRPr="00080145">
        <w:rPr>
          <w:color w:val="auto"/>
          <w:lang w:val="en-GB"/>
        </w:rPr>
        <w:t>In the absence of that, secure email systems such as CJSM, Egress and Encrypt and Send must be used</w:t>
      </w:r>
      <w:r w:rsidR="005D5DC9" w:rsidRPr="00080145">
        <w:rPr>
          <w:color w:val="auto"/>
          <w:lang w:val="en-GB"/>
        </w:rPr>
        <w:t xml:space="preserve">. </w:t>
      </w:r>
      <w:r w:rsidR="001E4879" w:rsidRPr="00080145">
        <w:rPr>
          <w:rFonts w:eastAsia="Times New Roman"/>
          <w:color w:val="auto"/>
          <w:lang w:val="en-GB" w:eastAsia="en-GB"/>
        </w:rPr>
        <w:t xml:space="preserve">Description of specific transfer processes </w:t>
      </w:r>
      <w:r w:rsidRPr="00080145">
        <w:rPr>
          <w:rFonts w:eastAsia="Times New Roman"/>
          <w:color w:val="auto"/>
          <w:lang w:val="en-GB" w:eastAsia="en-GB"/>
        </w:rPr>
        <w:t xml:space="preserve">must be </w:t>
      </w:r>
      <w:r w:rsidR="001E4879" w:rsidRPr="00080145">
        <w:rPr>
          <w:rFonts w:eastAsia="Times New Roman"/>
          <w:color w:val="auto"/>
          <w:lang w:val="en-GB" w:eastAsia="en-GB"/>
        </w:rPr>
        <w:t>in relevant process documents within each organ</w:t>
      </w:r>
      <w:r w:rsidR="00622FB0" w:rsidRPr="00080145">
        <w:rPr>
          <w:rFonts w:eastAsia="Times New Roman"/>
          <w:color w:val="auto"/>
          <w:lang w:val="en-GB" w:eastAsia="en-GB"/>
        </w:rPr>
        <w:t>isa</w:t>
      </w:r>
      <w:r w:rsidRPr="00080145">
        <w:rPr>
          <w:rFonts w:eastAsia="Times New Roman"/>
          <w:color w:val="auto"/>
          <w:lang w:val="en-GB" w:eastAsia="en-GB"/>
        </w:rPr>
        <w:t>tion</w:t>
      </w:r>
      <w:r w:rsidR="001E4879" w:rsidRPr="00080145">
        <w:rPr>
          <w:rFonts w:eastAsia="Times New Roman"/>
          <w:color w:val="auto"/>
          <w:lang w:val="en-GB" w:eastAsia="en-GB"/>
        </w:rPr>
        <w:t>.</w:t>
      </w:r>
    </w:p>
    <w:p w14:paraId="3C523A7A" w14:textId="28325B5E" w:rsidR="00CF1036" w:rsidRPr="00080145" w:rsidRDefault="00CF1036" w:rsidP="006C1607">
      <w:pPr>
        <w:pStyle w:val="Body"/>
        <w:rPr>
          <w:iCs/>
          <w:lang w:val="en-GB"/>
        </w:rPr>
      </w:pPr>
      <w:r w:rsidRPr="00080145">
        <w:rPr>
          <w:iCs/>
          <w:lang w:val="en-GB"/>
        </w:rPr>
        <w:t xml:space="preserve">Information </w:t>
      </w:r>
      <w:r w:rsidR="006C1607" w:rsidRPr="00080145">
        <w:rPr>
          <w:iCs/>
          <w:lang w:val="en-GB"/>
        </w:rPr>
        <w:t xml:space="preserve">may be shared over the phone, in a virtual meeting, or a face to face meetings. Employees must ensure that attendance and distribution of content is limited, with </w:t>
      </w:r>
      <w:r w:rsidR="006C1607" w:rsidRPr="00080145">
        <w:rPr>
          <w:lang w:val="en-GB"/>
        </w:rPr>
        <w:t xml:space="preserve">minutes or recordings with limited distribution. </w:t>
      </w:r>
      <w:r w:rsidRPr="00080145">
        <w:rPr>
          <w:iCs/>
          <w:lang w:val="en-GB"/>
        </w:rPr>
        <w:t xml:space="preserve">sharing by telephone should be avoided unless the requirement is urgent and email is not practicable. </w:t>
      </w:r>
    </w:p>
    <w:p w14:paraId="1799FD5B" w14:textId="77777777" w:rsidR="006C1607" w:rsidRPr="00080145" w:rsidRDefault="006C1607" w:rsidP="006C1607">
      <w:pPr>
        <w:pStyle w:val="Body"/>
        <w:rPr>
          <w:rFonts w:eastAsia="Times New Roman"/>
          <w:color w:val="auto"/>
          <w:lang w:val="en-GB" w:eastAsia="en-GB"/>
        </w:rPr>
      </w:pPr>
      <w:r w:rsidRPr="00080145">
        <w:rPr>
          <w:color w:val="auto"/>
          <w:lang w:val="en-GB"/>
        </w:rPr>
        <w:lastRenderedPageBreak/>
        <w:t>Any paper records printed must be kept to a minimum and kept secure at all times whether in the office, home or during transit. Organisations must adopt an appropriate policy surrounding the use and transfer of paper records. Appropriate security methods must be applied when storing or disposing of paper records.</w:t>
      </w:r>
    </w:p>
    <w:p w14:paraId="3890CC87" w14:textId="77777777" w:rsidR="00CF1036" w:rsidRPr="00080145" w:rsidRDefault="00CF1036" w:rsidP="005D5DC9">
      <w:pPr>
        <w:pStyle w:val="Body"/>
        <w:rPr>
          <w:rFonts w:eastAsia="Times New Roman"/>
          <w:color w:val="auto"/>
          <w:lang w:val="en-GB" w:eastAsia="en-GB"/>
        </w:rPr>
      </w:pPr>
    </w:p>
    <w:p w14:paraId="1BCC3BB0" w14:textId="0F0F582A" w:rsidR="009003B7" w:rsidRPr="00080145" w:rsidRDefault="009003B7" w:rsidP="00DC3241">
      <w:pPr>
        <w:pStyle w:val="Heading2"/>
        <w:rPr>
          <w:lang w:val="en-GB"/>
        </w:rPr>
      </w:pPr>
      <w:bookmarkStart w:id="53" w:name="_Toc51582921"/>
      <w:bookmarkStart w:id="54" w:name="_Toc59206202"/>
      <w:r w:rsidRPr="00080145">
        <w:rPr>
          <w:lang w:val="en-GB"/>
        </w:rPr>
        <w:t>Access controls and security</w:t>
      </w:r>
      <w:bookmarkEnd w:id="53"/>
      <w:bookmarkEnd w:id="54"/>
    </w:p>
    <w:p w14:paraId="70A46ACB" w14:textId="4565F3AD" w:rsidR="009003B7" w:rsidRPr="00080145" w:rsidRDefault="009003B7" w:rsidP="009003B7">
      <w:pPr>
        <w:pStyle w:val="Body"/>
        <w:rPr>
          <w:rFonts w:eastAsia="Times New Roman"/>
          <w:color w:val="auto"/>
          <w:lang w:val="en-GB" w:eastAsia="en-GB"/>
        </w:rPr>
      </w:pPr>
      <w:r w:rsidRPr="00080145">
        <w:rPr>
          <w:rFonts w:eastAsia="Times New Roman"/>
          <w:color w:val="auto"/>
          <w:lang w:val="en-GB" w:eastAsia="en-GB"/>
        </w:rPr>
        <w:t xml:space="preserve">All </w:t>
      </w:r>
      <w:r w:rsidRPr="00080145">
        <w:rPr>
          <w:color w:val="auto"/>
          <w:lang w:val="en-GB"/>
        </w:rPr>
        <w:t>parties will ensure that they have appropriate technical and organ</w:t>
      </w:r>
      <w:r w:rsidR="00622FB0" w:rsidRPr="00080145">
        <w:rPr>
          <w:color w:val="auto"/>
          <w:lang w:val="en-GB"/>
        </w:rPr>
        <w:t>isa</w:t>
      </w:r>
      <w:r w:rsidRPr="00080145">
        <w:rPr>
          <w:color w:val="auto"/>
          <w:lang w:val="en-GB"/>
        </w:rPr>
        <w:t>tional security measures in place to guard against unauthorised or unlawful processing of personal data and against accidental loss or destruction of, or damage to, personal data.</w:t>
      </w:r>
    </w:p>
    <w:p w14:paraId="6EA1F43D" w14:textId="77777777" w:rsidR="009003B7" w:rsidRPr="00080145" w:rsidRDefault="009003B7" w:rsidP="009003B7">
      <w:pPr>
        <w:pStyle w:val="Body"/>
        <w:rPr>
          <w:rFonts w:eastAsia="Times New Roman"/>
          <w:color w:val="auto"/>
          <w:lang w:val="en-GB" w:eastAsia="en-GB"/>
        </w:rPr>
      </w:pPr>
    </w:p>
    <w:p w14:paraId="5623CA29" w14:textId="0325415E" w:rsidR="009003B7" w:rsidRPr="00080145" w:rsidRDefault="009003B7" w:rsidP="009003B7">
      <w:pPr>
        <w:pStyle w:val="Body"/>
        <w:rPr>
          <w:rFonts w:eastAsia="Times New Roman"/>
          <w:color w:val="auto"/>
          <w:lang w:val="en-GB" w:eastAsia="en-GB"/>
        </w:rPr>
      </w:pPr>
      <w:r w:rsidRPr="00080145">
        <w:rPr>
          <w:color w:val="auto"/>
          <w:lang w:val="en-GB"/>
        </w:rPr>
        <w:t>All personal data held by partner organ</w:t>
      </w:r>
      <w:r w:rsidR="00622FB0" w:rsidRPr="00080145">
        <w:rPr>
          <w:color w:val="auto"/>
          <w:lang w:val="en-GB"/>
        </w:rPr>
        <w:t>isa</w:t>
      </w:r>
      <w:r w:rsidRPr="00080145">
        <w:rPr>
          <w:color w:val="auto"/>
          <w:lang w:val="en-GB"/>
        </w:rPr>
        <w:t>tions electronically will be stored in a secure network area with password protected entry and appropriate back-up functionality. The system</w:t>
      </w:r>
      <w:r w:rsidR="006C1607" w:rsidRPr="00080145">
        <w:rPr>
          <w:color w:val="auto"/>
          <w:lang w:val="en-GB"/>
        </w:rPr>
        <w:t>s</w:t>
      </w:r>
      <w:r w:rsidRPr="00080145">
        <w:rPr>
          <w:color w:val="auto"/>
          <w:lang w:val="en-GB"/>
        </w:rPr>
        <w:t xml:space="preserve"> will be auditable so that it is possible for any auditor to establish who has accessed the system. All laptops, computers, and any other portable devices will be encrypted.</w:t>
      </w:r>
    </w:p>
    <w:p w14:paraId="74C4E22C" w14:textId="74E2AD64" w:rsidR="009003B7" w:rsidRPr="00080145" w:rsidRDefault="009003B7" w:rsidP="009003B7">
      <w:pPr>
        <w:pStyle w:val="Body"/>
        <w:rPr>
          <w:color w:val="auto"/>
          <w:lang w:val="en-GB"/>
        </w:rPr>
      </w:pPr>
      <w:r w:rsidRPr="00080145">
        <w:rPr>
          <w:color w:val="auto"/>
          <w:lang w:val="en-GB"/>
        </w:rPr>
        <w:t>Any individual no longer required to have access will promptly have such access revoked by the line manager and Human Resources related to the relevant employer</w:t>
      </w:r>
      <w:r w:rsidR="008B38F0" w:rsidRPr="00080145">
        <w:rPr>
          <w:color w:val="auto"/>
          <w:lang w:val="en-GB"/>
        </w:rPr>
        <w:t>.</w:t>
      </w:r>
    </w:p>
    <w:p w14:paraId="7765225B" w14:textId="03B5CBF3" w:rsidR="009003B7" w:rsidRPr="00080145" w:rsidRDefault="009003B7" w:rsidP="009003B7">
      <w:pPr>
        <w:pStyle w:val="Body"/>
        <w:rPr>
          <w:color w:val="auto"/>
          <w:lang w:val="en-GB"/>
        </w:rPr>
      </w:pPr>
      <w:r w:rsidRPr="00080145">
        <w:rPr>
          <w:color w:val="auto"/>
          <w:lang w:val="en-GB"/>
        </w:rPr>
        <w:t>There is an expectation that partner organ</w:t>
      </w:r>
      <w:r w:rsidR="00622FB0" w:rsidRPr="00080145">
        <w:rPr>
          <w:color w:val="auto"/>
          <w:lang w:val="en-GB"/>
        </w:rPr>
        <w:t>isa</w:t>
      </w:r>
      <w:r w:rsidRPr="00080145">
        <w:rPr>
          <w:color w:val="auto"/>
          <w:lang w:val="en-GB"/>
        </w:rPr>
        <w:t>tions will either be working toward ISO 27001, the International Standard for Information Security Management, or a similar standard of security.</w:t>
      </w:r>
    </w:p>
    <w:p w14:paraId="705DCC6B" w14:textId="31069825" w:rsidR="002910C9" w:rsidRPr="00080145" w:rsidRDefault="002910C9" w:rsidP="009003B7">
      <w:pPr>
        <w:pStyle w:val="Body"/>
        <w:rPr>
          <w:color w:val="auto"/>
          <w:lang w:val="en-GB"/>
        </w:rPr>
      </w:pPr>
    </w:p>
    <w:p w14:paraId="1AD9E9EC" w14:textId="77777777" w:rsidR="006C1607" w:rsidRPr="00080145" w:rsidRDefault="006C1607" w:rsidP="006C1607">
      <w:pPr>
        <w:pStyle w:val="Heading2"/>
        <w:rPr>
          <w:lang w:val="en-GB"/>
        </w:rPr>
      </w:pPr>
      <w:bookmarkStart w:id="55" w:name="_Toc59206203"/>
      <w:r w:rsidRPr="00080145">
        <w:rPr>
          <w:lang w:val="en-GB"/>
        </w:rPr>
        <w:t>Outside UK processing</w:t>
      </w:r>
      <w:bookmarkEnd w:id="55"/>
      <w:r w:rsidRPr="00080145">
        <w:rPr>
          <w:lang w:val="en-GB"/>
        </w:rPr>
        <w:t xml:space="preserve"> </w:t>
      </w:r>
    </w:p>
    <w:p w14:paraId="65079004" w14:textId="5F8C0CF5" w:rsidR="002910C9" w:rsidRPr="00080145" w:rsidRDefault="006C1607" w:rsidP="009003B7">
      <w:pPr>
        <w:pStyle w:val="Body"/>
        <w:rPr>
          <w:color w:val="auto"/>
          <w:lang w:val="en-GB"/>
        </w:rPr>
      </w:pPr>
      <w:r w:rsidRPr="00080145">
        <w:rPr>
          <w:color w:val="auto"/>
          <w:lang w:val="en-GB"/>
        </w:rPr>
        <w:t>Parties are responsible for ensuring that if information is processed or shared outside the UK, that suitable written agreements are in place, and that appropriate due diligence has been completed for the transfer of data.</w:t>
      </w:r>
    </w:p>
    <w:p w14:paraId="21F3B463" w14:textId="391A9255" w:rsidR="009003B7" w:rsidRPr="00080145" w:rsidRDefault="009003B7" w:rsidP="009003B7">
      <w:pPr>
        <w:pStyle w:val="Body"/>
        <w:rPr>
          <w:color w:val="auto"/>
          <w:lang w:val="en-GB"/>
        </w:rPr>
      </w:pPr>
    </w:p>
    <w:p w14:paraId="79B5EF4A" w14:textId="77777777" w:rsidR="002E0733" w:rsidRPr="00080145" w:rsidRDefault="002E0733" w:rsidP="00DC3241">
      <w:pPr>
        <w:pStyle w:val="Heading2"/>
        <w:rPr>
          <w:lang w:val="en-GB"/>
        </w:rPr>
      </w:pPr>
      <w:bookmarkStart w:id="56" w:name="_Toc51582919"/>
      <w:bookmarkStart w:id="57" w:name="_Toc59206204"/>
      <w:r w:rsidRPr="00080145">
        <w:rPr>
          <w:lang w:val="en-GB"/>
        </w:rPr>
        <w:t>Data quality</w:t>
      </w:r>
      <w:bookmarkEnd w:id="56"/>
      <w:bookmarkEnd w:id="57"/>
    </w:p>
    <w:p w14:paraId="53A9EEBB" w14:textId="6DD9BAB5" w:rsidR="002E0733" w:rsidRPr="00080145" w:rsidRDefault="002E0733" w:rsidP="002E0733">
      <w:pPr>
        <w:pStyle w:val="Body"/>
        <w:rPr>
          <w:color w:val="auto"/>
          <w:lang w:val="en-GB"/>
        </w:rPr>
      </w:pPr>
      <w:r w:rsidRPr="00080145">
        <w:rPr>
          <w:color w:val="auto"/>
          <w:lang w:val="en-GB"/>
        </w:rPr>
        <w:t xml:space="preserve">Each partner is responsible for ensuring the accuracy and relevance of the personal data that it processes and shares and must have clear processes in place for managing data quality. </w:t>
      </w:r>
    </w:p>
    <w:p w14:paraId="54DC91D0" w14:textId="40F297A4" w:rsidR="005A1F81" w:rsidRPr="00080145" w:rsidRDefault="005A1F81" w:rsidP="002E0733">
      <w:pPr>
        <w:pStyle w:val="Body"/>
        <w:rPr>
          <w:color w:val="auto"/>
          <w:lang w:val="en-GB"/>
        </w:rPr>
      </w:pPr>
      <w:r w:rsidRPr="00080145">
        <w:rPr>
          <w:color w:val="auto"/>
          <w:lang w:val="en-GB"/>
        </w:rPr>
        <w:t>Any party learning of the inaccuracy of personal data is responsible for informing the parties with whom that data has been shared.</w:t>
      </w:r>
    </w:p>
    <w:p w14:paraId="35B05335" w14:textId="77777777" w:rsidR="006C1607" w:rsidRPr="00080145" w:rsidRDefault="006C1607" w:rsidP="002E0733">
      <w:pPr>
        <w:pStyle w:val="Body"/>
        <w:rPr>
          <w:color w:val="auto"/>
          <w:lang w:val="en-GB"/>
        </w:rPr>
      </w:pPr>
    </w:p>
    <w:p w14:paraId="1A428198" w14:textId="1568DE3A" w:rsidR="009003B7" w:rsidRPr="00080145" w:rsidRDefault="009003B7" w:rsidP="00DC3241">
      <w:pPr>
        <w:pStyle w:val="Heading2"/>
        <w:rPr>
          <w:lang w:val="en-GB"/>
        </w:rPr>
      </w:pPr>
      <w:bookmarkStart w:id="58" w:name="_Toc51582922"/>
      <w:bookmarkStart w:id="59" w:name="_Toc59206205"/>
      <w:r w:rsidRPr="00080145">
        <w:rPr>
          <w:lang w:val="en-GB"/>
        </w:rPr>
        <w:t>Data breaches</w:t>
      </w:r>
      <w:r w:rsidR="00C55A82" w:rsidRPr="00080145">
        <w:rPr>
          <w:lang w:val="en-GB"/>
        </w:rPr>
        <w:t>/incidents</w:t>
      </w:r>
      <w:bookmarkEnd w:id="58"/>
      <w:bookmarkEnd w:id="59"/>
    </w:p>
    <w:p w14:paraId="190275F6" w14:textId="42F7D930" w:rsidR="009003B7" w:rsidRPr="00080145" w:rsidRDefault="009003B7" w:rsidP="009003B7">
      <w:pPr>
        <w:pStyle w:val="Body"/>
        <w:rPr>
          <w:color w:val="auto"/>
          <w:lang w:val="en-GB"/>
        </w:rPr>
      </w:pPr>
      <w:r w:rsidRPr="00080145">
        <w:rPr>
          <w:color w:val="auto"/>
          <w:lang w:val="en-GB"/>
        </w:rPr>
        <w:t>All parties must have a clear policy and procedure regarding the reporting and handling of data protection breaches or data loss incidents.</w:t>
      </w:r>
      <w:r w:rsidR="006C1607" w:rsidRPr="00080145">
        <w:rPr>
          <w:color w:val="auto"/>
          <w:lang w:val="en-GB"/>
        </w:rPr>
        <w:t xml:space="preserve"> This must include </w:t>
      </w:r>
      <w:r w:rsidR="006C1607" w:rsidRPr="00080145">
        <w:rPr>
          <w:iCs/>
          <w:lang w:val="en-GB"/>
        </w:rPr>
        <w:t xml:space="preserve">assessing the level of risk to the data subject(s), as well as to make a decision on notifying the ICO within the statutory time frame of 72 hours. This complies with Articles 33 and 34 of </w:t>
      </w:r>
      <w:r w:rsidR="005023B1" w:rsidRPr="00080145">
        <w:rPr>
          <w:iCs/>
          <w:lang w:val="en-GB"/>
        </w:rPr>
        <w:t>UK</w:t>
      </w:r>
      <w:r w:rsidR="006C1607" w:rsidRPr="00080145">
        <w:rPr>
          <w:iCs/>
          <w:lang w:val="en-GB"/>
        </w:rPr>
        <w:t xml:space="preserve">GDPR, and </w:t>
      </w:r>
      <w:r w:rsidR="006C1607" w:rsidRPr="00080145">
        <w:rPr>
          <w:iCs/>
          <w:color w:val="0D0D0D"/>
          <w:lang w:val="en-GB"/>
        </w:rPr>
        <w:t>Section 67 and 68 of the DPA 2018</w:t>
      </w:r>
      <w:r w:rsidR="006C1607" w:rsidRPr="00080145">
        <w:rPr>
          <w:iCs/>
          <w:lang w:val="en-GB"/>
        </w:rPr>
        <w:t xml:space="preserve"> for personal data processed for law enforcement purposes.</w:t>
      </w:r>
    </w:p>
    <w:p w14:paraId="7B93AE6D" w14:textId="2D6DFEE0" w:rsidR="00DC3241" w:rsidRPr="00080145" w:rsidRDefault="00471F2C" w:rsidP="00DC3241">
      <w:pPr>
        <w:pStyle w:val="Body"/>
        <w:rPr>
          <w:lang w:val="en-GB"/>
        </w:rPr>
      </w:pPr>
      <w:r w:rsidRPr="00080145">
        <w:rPr>
          <w:iCs/>
          <w:lang w:val="en-GB"/>
        </w:rPr>
        <w:t>If the incident may impact the processing of another party to this agreement</w:t>
      </w:r>
      <w:r w:rsidR="006C1607" w:rsidRPr="00080145">
        <w:rPr>
          <w:color w:val="auto"/>
          <w:lang w:val="en-GB"/>
        </w:rPr>
        <w:t>, all relevant parti</w:t>
      </w:r>
      <w:r w:rsidR="009003B7" w:rsidRPr="00080145">
        <w:rPr>
          <w:color w:val="auto"/>
          <w:lang w:val="en-GB"/>
        </w:rPr>
        <w:t xml:space="preserve">es </w:t>
      </w:r>
      <w:r w:rsidRPr="00080145">
        <w:rPr>
          <w:color w:val="auto"/>
          <w:lang w:val="en-GB"/>
        </w:rPr>
        <w:t>should</w:t>
      </w:r>
      <w:r w:rsidR="009003B7" w:rsidRPr="00080145">
        <w:rPr>
          <w:color w:val="auto"/>
          <w:lang w:val="en-GB"/>
        </w:rPr>
        <w:t xml:space="preserve"> be informed</w:t>
      </w:r>
      <w:r w:rsidR="006C1607" w:rsidRPr="00080145">
        <w:rPr>
          <w:color w:val="auto"/>
          <w:lang w:val="en-GB"/>
        </w:rPr>
        <w:t xml:space="preserve"> and a</w:t>
      </w:r>
      <w:r w:rsidR="009003B7" w:rsidRPr="00080145">
        <w:rPr>
          <w:color w:val="auto"/>
          <w:lang w:val="en-GB"/>
        </w:rPr>
        <w:t xml:space="preserve">ppropriate co-ordination of the incident </w:t>
      </w:r>
      <w:r w:rsidR="006C1607" w:rsidRPr="00080145">
        <w:rPr>
          <w:color w:val="auto"/>
          <w:lang w:val="en-GB"/>
        </w:rPr>
        <w:t>must</w:t>
      </w:r>
      <w:r w:rsidR="009003B7" w:rsidRPr="00080145">
        <w:rPr>
          <w:color w:val="auto"/>
          <w:lang w:val="en-GB"/>
        </w:rPr>
        <w:t xml:space="preserve"> take place</w:t>
      </w:r>
      <w:r w:rsidR="006C1607" w:rsidRPr="00080145">
        <w:rPr>
          <w:color w:val="auto"/>
          <w:lang w:val="en-GB"/>
        </w:rPr>
        <w:t xml:space="preserve">. </w:t>
      </w:r>
      <w:r w:rsidR="009003B7" w:rsidRPr="00080145">
        <w:rPr>
          <w:color w:val="auto"/>
          <w:lang w:val="en-GB"/>
        </w:rPr>
        <w:t>The decision to report the incident will lie with the data controller(s) of the information concerned.</w:t>
      </w:r>
      <w:r w:rsidR="006C1607" w:rsidRPr="00080145">
        <w:rPr>
          <w:color w:val="auto"/>
          <w:lang w:val="en-GB"/>
        </w:rPr>
        <w:t xml:space="preserve"> The parties </w:t>
      </w:r>
      <w:r w:rsidR="00DC3241" w:rsidRPr="00080145">
        <w:rPr>
          <w:lang w:val="en-GB"/>
        </w:rPr>
        <w:t>agree to provide all reasonable and necessary assistance at their own expense to each other to facilitate the handling of any personal data breach in an expeditious and compliant manner.</w:t>
      </w:r>
    </w:p>
    <w:p w14:paraId="6B97826E" w14:textId="77777777" w:rsidR="00DC3241" w:rsidRPr="00080145" w:rsidRDefault="00DC3241" w:rsidP="00DC3241">
      <w:pPr>
        <w:pStyle w:val="Body"/>
        <w:rPr>
          <w:iCs/>
          <w:lang w:val="en-GB"/>
        </w:rPr>
      </w:pPr>
      <w:r w:rsidRPr="00080145">
        <w:rPr>
          <w:iCs/>
          <w:lang w:val="en-GB"/>
        </w:rPr>
        <w:lastRenderedPageBreak/>
        <w:t>It is confirmed that security breaches (including misuse or unauthorised disclosure) are covered by the partner’s internal disciplinary procedures. If misuse is found there should be a mechanism to facilitate an investigation, including initiating criminal proceedings where necessary.</w:t>
      </w:r>
    </w:p>
    <w:p w14:paraId="496A0EEF" w14:textId="5B15370F" w:rsidR="00471F2C" w:rsidRPr="00080145" w:rsidRDefault="00471F2C" w:rsidP="00CF1036">
      <w:pPr>
        <w:pStyle w:val="Body"/>
        <w:rPr>
          <w:iCs/>
          <w:lang w:val="en-GB"/>
        </w:rPr>
      </w:pPr>
    </w:p>
    <w:p w14:paraId="33C0587C" w14:textId="32F6C84E" w:rsidR="009003B7" w:rsidRPr="00080145" w:rsidRDefault="00B0203B" w:rsidP="00DC3241">
      <w:pPr>
        <w:pStyle w:val="Heading2"/>
        <w:rPr>
          <w:lang w:val="en-GB"/>
        </w:rPr>
      </w:pPr>
      <w:bookmarkStart w:id="60" w:name="_Toc51582923"/>
      <w:bookmarkStart w:id="61" w:name="_Toc59206206"/>
      <w:r w:rsidRPr="00080145">
        <w:rPr>
          <w:lang w:val="en-GB"/>
        </w:rPr>
        <w:t>Retention &amp; Disposal</w:t>
      </w:r>
      <w:bookmarkEnd w:id="60"/>
      <w:bookmarkEnd w:id="61"/>
      <w:r w:rsidRPr="00080145">
        <w:rPr>
          <w:lang w:val="en-GB"/>
        </w:rPr>
        <w:t xml:space="preserve"> </w:t>
      </w:r>
    </w:p>
    <w:p w14:paraId="45555358" w14:textId="5B52EF96" w:rsidR="00A97AA9" w:rsidRPr="00080145" w:rsidRDefault="00A97AA9" w:rsidP="00A97AA9">
      <w:pPr>
        <w:pStyle w:val="Body"/>
        <w:rPr>
          <w:color w:val="auto"/>
          <w:lang w:val="en-GB" w:eastAsia="en-GB"/>
        </w:rPr>
      </w:pPr>
      <w:r w:rsidRPr="00080145">
        <w:rPr>
          <w:color w:val="auto"/>
          <w:lang w:val="en-GB" w:eastAsia="en-GB"/>
        </w:rPr>
        <w:t>Organ</w:t>
      </w:r>
      <w:r w:rsidR="00622FB0" w:rsidRPr="00080145">
        <w:rPr>
          <w:color w:val="auto"/>
          <w:lang w:val="en-GB" w:eastAsia="en-GB"/>
        </w:rPr>
        <w:t>isa</w:t>
      </w:r>
      <w:r w:rsidRPr="00080145">
        <w:rPr>
          <w:color w:val="auto"/>
          <w:lang w:val="en-GB" w:eastAsia="en-GB"/>
        </w:rPr>
        <w:t xml:space="preserve">tions are required by data protection legislation to document processing activities for personal data, such as what personal data is held, where it came from and with whom it has been shared. </w:t>
      </w:r>
      <w:r w:rsidR="00471F2C" w:rsidRPr="00080145">
        <w:rPr>
          <w:color w:val="auto"/>
          <w:lang w:val="en-GB" w:eastAsia="en-GB"/>
        </w:rPr>
        <w:t>This Record of Processing Activity (ROPA) must include the retention period for the data.</w:t>
      </w:r>
    </w:p>
    <w:p w14:paraId="756B3BD2" w14:textId="77777777" w:rsidR="00A97AA9" w:rsidRPr="00080145" w:rsidRDefault="00A97AA9" w:rsidP="00A97AA9">
      <w:pPr>
        <w:pStyle w:val="Body"/>
        <w:rPr>
          <w:rFonts w:eastAsia="Times New Roman"/>
          <w:color w:val="auto"/>
          <w:lang w:val="en-GB" w:eastAsia="en-GB"/>
        </w:rPr>
      </w:pPr>
    </w:p>
    <w:p w14:paraId="406F1F25" w14:textId="76B7ABE3" w:rsidR="00B0203B" w:rsidRPr="00080145" w:rsidRDefault="00A97AA9" w:rsidP="006C1607">
      <w:pPr>
        <w:pStyle w:val="Body"/>
        <w:rPr>
          <w:lang w:val="en-GB"/>
        </w:rPr>
      </w:pPr>
      <w:r w:rsidRPr="00080145">
        <w:rPr>
          <w:lang w:val="en-GB"/>
        </w:rPr>
        <w:t>Information must not be retained for longer than necessary for the purpose for which it was obtained. Disposal or deletion of personal data once it is no longer required, must be done securely with appropriate</w:t>
      </w:r>
      <w:r w:rsidR="00471F2C" w:rsidRPr="00080145">
        <w:rPr>
          <w:lang w:val="en-GB"/>
        </w:rPr>
        <w:t xml:space="preserve"> safeguards, in accordance with that organisation’s disposal policies.</w:t>
      </w:r>
    </w:p>
    <w:p w14:paraId="7F4A2B75" w14:textId="75FF6814" w:rsidR="00817198" w:rsidRPr="00080145" w:rsidRDefault="00817198" w:rsidP="006C1607">
      <w:pPr>
        <w:pStyle w:val="Body"/>
        <w:rPr>
          <w:lang w:val="en-GB"/>
        </w:rPr>
      </w:pPr>
    </w:p>
    <w:tbl>
      <w:tblPr>
        <w:tblW w:w="0" w:type="auto"/>
        <w:tblBorders>
          <w:top w:val="single" w:sz="24" w:space="0" w:color="C1DBDA"/>
          <w:left w:val="single" w:sz="4" w:space="0" w:color="90BCBA"/>
          <w:bottom w:val="single" w:sz="4" w:space="0" w:color="90BCBA"/>
          <w:right w:val="single" w:sz="4" w:space="0" w:color="90BCBA"/>
          <w:insideH w:val="single" w:sz="4" w:space="0" w:color="C1DBDA"/>
          <w:insideV w:val="single" w:sz="4" w:space="0" w:color="CBCCCA"/>
        </w:tblBorders>
        <w:tblLook w:val="0420" w:firstRow="1" w:lastRow="0" w:firstColumn="0" w:lastColumn="0" w:noHBand="0" w:noVBand="1"/>
      </w:tblPr>
      <w:tblGrid>
        <w:gridCol w:w="3172"/>
        <w:gridCol w:w="7016"/>
      </w:tblGrid>
      <w:tr w:rsidR="00817198" w:rsidRPr="00080145" w14:paraId="6692F947" w14:textId="77777777" w:rsidTr="00817198">
        <w:trPr>
          <w:tblHeader/>
        </w:trPr>
        <w:tc>
          <w:tcPr>
            <w:tcW w:w="10414" w:type="dxa"/>
            <w:gridSpan w:val="2"/>
            <w:shd w:val="clear" w:color="auto" w:fill="00988E"/>
          </w:tcPr>
          <w:p w14:paraId="47B785C0" w14:textId="77777777" w:rsidR="00817198" w:rsidRPr="00080145" w:rsidRDefault="00817198" w:rsidP="00817198">
            <w:pPr>
              <w:pStyle w:val="Body"/>
              <w:rPr>
                <w:b/>
                <w:color w:val="auto"/>
                <w:lang w:val="en-GB"/>
              </w:rPr>
            </w:pPr>
            <w:r w:rsidRPr="00080145">
              <w:rPr>
                <w:b/>
                <w:color w:val="auto"/>
                <w:lang w:val="en-GB"/>
              </w:rPr>
              <w:t>Version control</w:t>
            </w:r>
          </w:p>
        </w:tc>
      </w:tr>
      <w:tr w:rsidR="00817198" w:rsidRPr="00080145" w14:paraId="020B3E13" w14:textId="77777777" w:rsidTr="00817198">
        <w:tc>
          <w:tcPr>
            <w:tcW w:w="3227" w:type="dxa"/>
            <w:shd w:val="clear" w:color="auto" w:fill="E4E5E3"/>
          </w:tcPr>
          <w:p w14:paraId="2F721387" w14:textId="77777777" w:rsidR="00817198" w:rsidRPr="00080145" w:rsidRDefault="00817198" w:rsidP="00817198">
            <w:pPr>
              <w:pStyle w:val="Body"/>
              <w:tabs>
                <w:tab w:val="left" w:pos="3532"/>
              </w:tabs>
              <w:rPr>
                <w:rFonts w:ascii="Segoe UI" w:hAnsi="Segoe UI" w:cs="Segoe UI"/>
                <w:b/>
                <w:color w:val="auto"/>
                <w:sz w:val="20"/>
                <w:szCs w:val="20"/>
                <w:lang w:val="en-GB"/>
              </w:rPr>
            </w:pPr>
            <w:r w:rsidRPr="00080145">
              <w:rPr>
                <w:rFonts w:ascii="Segoe UI" w:hAnsi="Segoe UI" w:cs="Segoe UI"/>
                <w:b/>
                <w:iCs/>
                <w:color w:val="auto"/>
                <w:sz w:val="20"/>
                <w:szCs w:val="20"/>
                <w:lang w:val="en-GB"/>
              </w:rPr>
              <w:t>Document production date</w:t>
            </w:r>
          </w:p>
        </w:tc>
        <w:tc>
          <w:tcPr>
            <w:tcW w:w="7187" w:type="dxa"/>
            <w:shd w:val="clear" w:color="auto" w:fill="auto"/>
          </w:tcPr>
          <w:p w14:paraId="4663E9C0" w14:textId="3F7E64DC" w:rsidR="00817198" w:rsidRPr="00080145" w:rsidRDefault="00BC2D2F" w:rsidP="00817198">
            <w:pPr>
              <w:pStyle w:val="Body"/>
              <w:rPr>
                <w:rFonts w:ascii="Segoe UI" w:hAnsi="Segoe UI" w:cs="Segoe UI"/>
                <w:color w:val="auto"/>
                <w:sz w:val="20"/>
                <w:szCs w:val="20"/>
                <w:lang w:val="en-GB"/>
              </w:rPr>
            </w:pPr>
            <w:r w:rsidRPr="00080145">
              <w:rPr>
                <w:rStyle w:val="Note"/>
              </w:rPr>
              <w:t>November 2020</w:t>
            </w:r>
          </w:p>
        </w:tc>
      </w:tr>
      <w:tr w:rsidR="00817198" w:rsidRPr="00080145" w14:paraId="2B815FE7" w14:textId="77777777" w:rsidTr="00817198">
        <w:tc>
          <w:tcPr>
            <w:tcW w:w="3227" w:type="dxa"/>
            <w:shd w:val="clear" w:color="auto" w:fill="E4E5E3"/>
          </w:tcPr>
          <w:p w14:paraId="045911C8" w14:textId="77777777" w:rsidR="00817198" w:rsidRPr="00080145" w:rsidRDefault="00817198" w:rsidP="00817198">
            <w:pPr>
              <w:pStyle w:val="Body"/>
              <w:tabs>
                <w:tab w:val="left" w:pos="3532"/>
              </w:tabs>
              <w:rPr>
                <w:rFonts w:ascii="Segoe UI" w:hAnsi="Segoe UI" w:cs="Segoe UI"/>
                <w:color w:val="auto"/>
                <w:sz w:val="20"/>
                <w:szCs w:val="20"/>
                <w:lang w:val="en-GB"/>
              </w:rPr>
            </w:pPr>
            <w:r w:rsidRPr="00080145">
              <w:rPr>
                <w:rFonts w:ascii="Segoe UI" w:hAnsi="Segoe UI" w:cs="Segoe UI"/>
                <w:b/>
                <w:color w:val="auto"/>
                <w:sz w:val="20"/>
                <w:szCs w:val="20"/>
                <w:lang w:val="en-GB"/>
              </w:rPr>
              <w:t>Document currency</w:t>
            </w:r>
          </w:p>
        </w:tc>
        <w:tc>
          <w:tcPr>
            <w:tcW w:w="7187" w:type="dxa"/>
            <w:shd w:val="clear" w:color="auto" w:fill="auto"/>
          </w:tcPr>
          <w:p w14:paraId="680BE5F2" w14:textId="51C3E236" w:rsidR="00817198" w:rsidRPr="00080145" w:rsidRDefault="00817198" w:rsidP="00817198">
            <w:pPr>
              <w:pStyle w:val="Body"/>
              <w:rPr>
                <w:rFonts w:ascii="Segoe UI" w:hAnsi="Segoe UI" w:cs="Segoe UI"/>
                <w:color w:val="auto"/>
                <w:sz w:val="20"/>
                <w:szCs w:val="20"/>
                <w:lang w:val="en-GB"/>
              </w:rPr>
            </w:pPr>
            <w:r w:rsidRPr="00080145">
              <w:rPr>
                <w:rFonts w:ascii="Segoe UI" w:hAnsi="Segoe UI" w:cs="Segoe UI"/>
                <w:iCs/>
                <w:color w:val="auto"/>
                <w:sz w:val="20"/>
                <w:szCs w:val="20"/>
                <w:lang w:val="en-GB"/>
              </w:rPr>
              <w:t>Draft v.</w:t>
            </w:r>
            <w:r w:rsidR="00BC2D2F" w:rsidRPr="00080145">
              <w:rPr>
                <w:rFonts w:ascii="Segoe UI" w:hAnsi="Segoe UI" w:cs="Segoe UI"/>
                <w:iCs/>
                <w:color w:val="auto"/>
                <w:sz w:val="20"/>
                <w:szCs w:val="20"/>
                <w:lang w:val="en-GB"/>
              </w:rPr>
              <w:t>10</w:t>
            </w:r>
          </w:p>
        </w:tc>
      </w:tr>
    </w:tbl>
    <w:p w14:paraId="6248B602" w14:textId="77777777" w:rsidR="00817198" w:rsidRPr="00080145" w:rsidRDefault="00817198" w:rsidP="006C1607">
      <w:pPr>
        <w:pStyle w:val="Body"/>
        <w:rPr>
          <w:lang w:val="en-GB"/>
        </w:rPr>
      </w:pPr>
    </w:p>
    <w:p w14:paraId="7BC59288" w14:textId="1FCE627A" w:rsidR="00D42B74" w:rsidRPr="00080145" w:rsidRDefault="00D42B74" w:rsidP="00A97AA9">
      <w:pPr>
        <w:pStyle w:val="Body"/>
        <w:rPr>
          <w:rFonts w:ascii="Segoe UI" w:eastAsia="Times New Roman" w:hAnsi="Segoe UI" w:cs="Segoe UI"/>
          <w:color w:val="auto"/>
          <w:sz w:val="20"/>
          <w:szCs w:val="20"/>
          <w:lang w:val="en-GB" w:eastAsia="en-GB"/>
        </w:rPr>
      </w:pPr>
    </w:p>
    <w:p w14:paraId="044C3A12" w14:textId="0DDB97A2" w:rsidR="00B51466" w:rsidRPr="00080145" w:rsidRDefault="00B51466" w:rsidP="008B7090">
      <w:pPr>
        <w:spacing w:before="0" w:after="0" w:line="240" w:lineRule="auto"/>
        <w:rPr>
          <w:rFonts w:ascii="Georgia" w:hAnsi="Georgia" w:cs="CenturySchoolbook"/>
          <w:b/>
          <w:bCs/>
          <w:color w:val="auto"/>
          <w:spacing w:val="-30"/>
          <w:sz w:val="40"/>
          <w:szCs w:val="48"/>
          <w:lang w:eastAsia="ja-JP"/>
        </w:rPr>
        <w:sectPr w:rsidR="00B51466" w:rsidRPr="00080145" w:rsidSect="00817198">
          <w:headerReference w:type="even" r:id="rId15"/>
          <w:headerReference w:type="default" r:id="rId16"/>
          <w:footerReference w:type="even" r:id="rId17"/>
          <w:footerReference w:type="default" r:id="rId18"/>
          <w:headerReference w:type="first" r:id="rId19"/>
          <w:footerReference w:type="first" r:id="rId20"/>
          <w:pgSz w:w="11900" w:h="16820"/>
          <w:pgMar w:top="993" w:right="851" w:bottom="1418" w:left="851" w:header="567" w:footer="480" w:gutter="0"/>
          <w:cols w:space="708"/>
          <w:docGrid w:linePitch="299"/>
        </w:sectPr>
      </w:pPr>
    </w:p>
    <w:p w14:paraId="7304B4A7" w14:textId="280B64D4" w:rsidR="00D27E28" w:rsidRPr="00080145" w:rsidRDefault="00D27E28" w:rsidP="007F1426">
      <w:pPr>
        <w:pStyle w:val="Heading1"/>
      </w:pPr>
      <w:bookmarkStart w:id="62" w:name="_Toc51582925"/>
      <w:bookmarkStart w:id="63" w:name="_Toc59206207"/>
      <w:r w:rsidRPr="00080145">
        <w:lastRenderedPageBreak/>
        <w:t>Appendix A –</w:t>
      </w:r>
      <w:r w:rsidR="001E4879" w:rsidRPr="00080145">
        <w:t xml:space="preserve"> </w:t>
      </w:r>
      <w:bookmarkEnd w:id="62"/>
      <w:r w:rsidR="006C1607" w:rsidRPr="00080145">
        <w:t>Parties to this agreement</w:t>
      </w:r>
      <w:bookmarkEnd w:id="63"/>
    </w:p>
    <w:p w14:paraId="039AE549" w14:textId="77777777" w:rsidR="002910C9" w:rsidRPr="00080145" w:rsidRDefault="002910C9">
      <w:pPr>
        <w:spacing w:before="0" w:after="0" w:line="240" w:lineRule="auto"/>
        <w:rPr>
          <w:color w:val="auto"/>
        </w:rPr>
      </w:pPr>
    </w:p>
    <w:p w14:paraId="08ED4EE2" w14:textId="77777777" w:rsidR="002910C9" w:rsidRPr="00080145" w:rsidRDefault="002910C9">
      <w:pPr>
        <w:spacing w:before="0" w:after="0" w:line="240" w:lineRule="auto"/>
        <w:rPr>
          <w:color w:val="auto"/>
        </w:rPr>
      </w:pPr>
    </w:p>
    <w:tbl>
      <w:tblPr>
        <w:tblStyle w:val="TableGrid"/>
        <w:tblW w:w="10349" w:type="dxa"/>
        <w:tblInd w:w="-147" w:type="dxa"/>
        <w:tblLook w:val="04A0" w:firstRow="1" w:lastRow="0" w:firstColumn="1" w:lastColumn="0" w:noHBand="0" w:noVBand="1"/>
      </w:tblPr>
      <w:tblGrid>
        <w:gridCol w:w="1844"/>
        <w:gridCol w:w="8505"/>
      </w:tblGrid>
      <w:tr w:rsidR="005023B1" w:rsidRPr="00080145" w14:paraId="2F12399C" w14:textId="77777777" w:rsidTr="005023B1">
        <w:trPr>
          <w:tblHeader/>
        </w:trPr>
        <w:tc>
          <w:tcPr>
            <w:tcW w:w="1844" w:type="dxa"/>
            <w:shd w:val="clear" w:color="auto" w:fill="008080"/>
          </w:tcPr>
          <w:p w14:paraId="0474B3C9" w14:textId="682C8F2D" w:rsidR="005023B1" w:rsidRPr="00080145" w:rsidRDefault="005023B1" w:rsidP="00817198">
            <w:pPr>
              <w:pStyle w:val="BodyTableheaderBase"/>
              <w:rPr>
                <w:sz w:val="24"/>
                <w:szCs w:val="24"/>
                <w:lang w:val="en-GB"/>
              </w:rPr>
            </w:pPr>
            <w:r w:rsidRPr="00080145">
              <w:rPr>
                <w:sz w:val="24"/>
                <w:szCs w:val="24"/>
                <w:lang w:val="en-GB"/>
              </w:rPr>
              <w:t>Organisation</w:t>
            </w:r>
          </w:p>
        </w:tc>
        <w:tc>
          <w:tcPr>
            <w:tcW w:w="8505" w:type="dxa"/>
            <w:shd w:val="clear" w:color="auto" w:fill="008080"/>
          </w:tcPr>
          <w:p w14:paraId="72FEABD0" w14:textId="276160FA" w:rsidR="005023B1" w:rsidRPr="00080145" w:rsidRDefault="005023B1" w:rsidP="005023B1">
            <w:pPr>
              <w:pStyle w:val="BodyTableheaderBase"/>
              <w:rPr>
                <w:sz w:val="24"/>
                <w:szCs w:val="24"/>
                <w:lang w:val="en-GB"/>
              </w:rPr>
            </w:pPr>
            <w:r w:rsidRPr="00080145">
              <w:rPr>
                <w:sz w:val="24"/>
                <w:szCs w:val="24"/>
                <w:lang w:val="en-GB"/>
              </w:rPr>
              <w:t>Duties</w:t>
            </w:r>
          </w:p>
        </w:tc>
      </w:tr>
      <w:tr w:rsidR="005023B1" w:rsidRPr="00080145" w14:paraId="09EED417" w14:textId="77777777" w:rsidTr="005023B1">
        <w:tc>
          <w:tcPr>
            <w:tcW w:w="1844" w:type="dxa"/>
          </w:tcPr>
          <w:p w14:paraId="6938D0A3" w14:textId="01EE5F7C" w:rsidR="005023B1" w:rsidRPr="00080145" w:rsidRDefault="005023B1" w:rsidP="00817198">
            <w:pPr>
              <w:pStyle w:val="Body"/>
              <w:rPr>
                <w:color w:val="auto"/>
                <w:sz w:val="24"/>
                <w:szCs w:val="24"/>
                <w:lang w:val="en-GB"/>
              </w:rPr>
            </w:pPr>
            <w:r w:rsidRPr="00080145">
              <w:rPr>
                <w:color w:val="auto"/>
                <w:sz w:val="24"/>
                <w:szCs w:val="24"/>
                <w:lang w:val="en-GB"/>
              </w:rPr>
              <w:t>London Borough Council</w:t>
            </w:r>
          </w:p>
        </w:tc>
        <w:tc>
          <w:tcPr>
            <w:tcW w:w="8505" w:type="dxa"/>
          </w:tcPr>
          <w:p w14:paraId="1D902D9F" w14:textId="77777777" w:rsidR="005023B1" w:rsidRPr="00080145" w:rsidRDefault="005023B1" w:rsidP="004A71E2">
            <w:pPr>
              <w:pStyle w:val="Bodybullets"/>
              <w:tabs>
                <w:tab w:val="clear" w:pos="454"/>
              </w:tabs>
              <w:ind w:left="171"/>
              <w:rPr>
                <w:rFonts w:eastAsia="Times New Roman"/>
                <w:color w:val="auto"/>
                <w:sz w:val="24"/>
                <w:szCs w:val="24"/>
                <w:lang w:val="en-GB" w:eastAsia="en-GB"/>
              </w:rPr>
            </w:pPr>
            <w:r w:rsidRPr="00080145">
              <w:rPr>
                <w:rFonts w:eastAsia="Times New Roman"/>
                <w:color w:val="auto"/>
                <w:sz w:val="24"/>
                <w:szCs w:val="24"/>
                <w:lang w:val="en-GB" w:eastAsia="en-GB"/>
              </w:rPr>
              <w:t>Co-ordinates, gathers, processes, risk assesses and shares information held about children known to the local authority in conjunction with information received from partner agencies</w:t>
            </w:r>
          </w:p>
          <w:p w14:paraId="3F32F19F" w14:textId="77777777" w:rsidR="005023B1" w:rsidRPr="00080145" w:rsidRDefault="005023B1" w:rsidP="004A71E2">
            <w:pPr>
              <w:pStyle w:val="Bodybullets"/>
              <w:tabs>
                <w:tab w:val="clear" w:pos="454"/>
              </w:tabs>
              <w:ind w:left="171"/>
              <w:rPr>
                <w:rFonts w:eastAsia="Times New Roman"/>
                <w:color w:val="auto"/>
                <w:sz w:val="24"/>
                <w:szCs w:val="24"/>
                <w:lang w:val="en-GB" w:eastAsia="en-GB"/>
              </w:rPr>
            </w:pPr>
            <w:r w:rsidRPr="00080145">
              <w:rPr>
                <w:rFonts w:eastAsia="Times New Roman"/>
                <w:color w:val="auto"/>
                <w:sz w:val="24"/>
                <w:szCs w:val="24"/>
                <w:lang w:val="en-GB" w:eastAsia="en-GB"/>
              </w:rPr>
              <w:t>Makes decisions on all contacts received in the MASH on next steps</w:t>
            </w:r>
          </w:p>
          <w:p w14:paraId="206C37D5" w14:textId="77777777" w:rsidR="005023B1" w:rsidRPr="00080145" w:rsidRDefault="005023B1" w:rsidP="004A71E2">
            <w:pPr>
              <w:pStyle w:val="Bodybullets"/>
              <w:tabs>
                <w:tab w:val="clear" w:pos="454"/>
              </w:tabs>
              <w:ind w:left="171"/>
              <w:rPr>
                <w:color w:val="auto"/>
                <w:sz w:val="24"/>
                <w:szCs w:val="24"/>
                <w:lang w:val="en-GB"/>
              </w:rPr>
            </w:pPr>
            <w:r w:rsidRPr="00080145">
              <w:rPr>
                <w:color w:val="auto"/>
                <w:sz w:val="24"/>
                <w:szCs w:val="24"/>
                <w:lang w:val="en-GB" w:eastAsia="en-GB"/>
              </w:rPr>
              <w:t>Allocates resources in accordance with children’s needs</w:t>
            </w:r>
          </w:p>
          <w:p w14:paraId="72A69C66" w14:textId="77777777" w:rsidR="005023B1" w:rsidRPr="00080145" w:rsidRDefault="005023B1" w:rsidP="004A71E2">
            <w:pPr>
              <w:pStyle w:val="Bodybullets"/>
              <w:tabs>
                <w:tab w:val="clear" w:pos="454"/>
              </w:tabs>
              <w:ind w:left="171"/>
              <w:rPr>
                <w:color w:val="auto"/>
                <w:sz w:val="24"/>
                <w:szCs w:val="24"/>
                <w:lang w:val="en-GB"/>
              </w:rPr>
            </w:pPr>
            <w:r w:rsidRPr="00080145">
              <w:rPr>
                <w:color w:val="auto"/>
                <w:sz w:val="24"/>
                <w:szCs w:val="24"/>
                <w:lang w:val="en-GB"/>
              </w:rPr>
              <w:t>Shares information on young people known to the Youth Offending Service to assist risk and vulnerability assessment</w:t>
            </w:r>
          </w:p>
          <w:p w14:paraId="7CCAF3D4" w14:textId="77777777" w:rsidR="005023B1" w:rsidRPr="00080145" w:rsidRDefault="005023B1" w:rsidP="004A71E2">
            <w:pPr>
              <w:pStyle w:val="Bodybullets"/>
              <w:tabs>
                <w:tab w:val="clear" w:pos="454"/>
              </w:tabs>
              <w:ind w:left="171"/>
              <w:rPr>
                <w:color w:val="auto"/>
                <w:sz w:val="24"/>
                <w:szCs w:val="24"/>
                <w:lang w:val="en-GB"/>
              </w:rPr>
            </w:pPr>
            <w:r w:rsidRPr="00080145">
              <w:rPr>
                <w:color w:val="auto"/>
                <w:sz w:val="24"/>
                <w:szCs w:val="24"/>
                <w:lang w:val="en-GB"/>
              </w:rPr>
              <w:t>Co-ordinates, gathers, processes, risk assesses and shares education information relevant to children of school age</w:t>
            </w:r>
          </w:p>
          <w:p w14:paraId="10F9191C" w14:textId="77777777" w:rsidR="005023B1" w:rsidRPr="00080145" w:rsidRDefault="005023B1" w:rsidP="004A71E2">
            <w:pPr>
              <w:pStyle w:val="Bodybullets"/>
              <w:tabs>
                <w:tab w:val="clear" w:pos="454"/>
              </w:tabs>
              <w:ind w:left="171"/>
              <w:rPr>
                <w:color w:val="auto"/>
                <w:sz w:val="24"/>
                <w:szCs w:val="24"/>
                <w:lang w:val="en-GB"/>
              </w:rPr>
            </w:pPr>
            <w:r w:rsidRPr="00080145">
              <w:rPr>
                <w:color w:val="auto"/>
                <w:sz w:val="24"/>
                <w:szCs w:val="24"/>
                <w:lang w:val="en-GB"/>
              </w:rPr>
              <w:t>Supports assessment of risk and vulnerability</w:t>
            </w:r>
          </w:p>
          <w:p w14:paraId="3F44FBD9" w14:textId="77777777" w:rsidR="005023B1" w:rsidRPr="00080145" w:rsidRDefault="005023B1" w:rsidP="004A71E2">
            <w:pPr>
              <w:pStyle w:val="Bodybullets"/>
              <w:tabs>
                <w:tab w:val="clear" w:pos="454"/>
              </w:tabs>
              <w:ind w:left="171"/>
              <w:rPr>
                <w:color w:val="auto"/>
                <w:sz w:val="24"/>
                <w:szCs w:val="24"/>
                <w:lang w:val="en-GB"/>
              </w:rPr>
            </w:pPr>
            <w:r w:rsidRPr="00080145">
              <w:rPr>
                <w:color w:val="auto"/>
                <w:sz w:val="24"/>
                <w:szCs w:val="24"/>
                <w:lang w:val="en-GB"/>
              </w:rPr>
              <w:t>Co-ordinates, gathers, processes, risk assesses and shares information held about vulnerable adults known to the local authority, with a child or young person in the family.</w:t>
            </w:r>
          </w:p>
          <w:p w14:paraId="144A8577" w14:textId="3526FC6A" w:rsidR="005023B1" w:rsidRPr="00080145" w:rsidRDefault="005023B1" w:rsidP="004A71E2">
            <w:pPr>
              <w:pStyle w:val="Bodybullets"/>
              <w:tabs>
                <w:tab w:val="clear" w:pos="454"/>
              </w:tabs>
              <w:ind w:left="171"/>
              <w:rPr>
                <w:color w:val="auto"/>
                <w:sz w:val="24"/>
                <w:szCs w:val="24"/>
                <w:lang w:val="en-GB"/>
              </w:rPr>
            </w:pPr>
            <w:r w:rsidRPr="00080145">
              <w:rPr>
                <w:color w:val="auto"/>
                <w:sz w:val="24"/>
                <w:szCs w:val="24"/>
                <w:lang w:val="en-GB"/>
              </w:rPr>
              <w:t xml:space="preserve">Supports assessment of risk </w:t>
            </w:r>
            <w:r w:rsidR="002D3B54" w:rsidRPr="00080145">
              <w:rPr>
                <w:color w:val="auto"/>
                <w:sz w:val="24"/>
                <w:szCs w:val="24"/>
                <w:lang w:val="en-GB"/>
              </w:rPr>
              <w:t>and vulnerability</w:t>
            </w:r>
          </w:p>
        </w:tc>
      </w:tr>
      <w:tr w:rsidR="005023B1" w:rsidRPr="00080145" w14:paraId="7CFE0F69" w14:textId="77777777" w:rsidTr="005023B1">
        <w:tc>
          <w:tcPr>
            <w:tcW w:w="1844" w:type="dxa"/>
          </w:tcPr>
          <w:p w14:paraId="2A4B3020" w14:textId="77777777" w:rsidR="005023B1" w:rsidRPr="00080145" w:rsidRDefault="005023B1" w:rsidP="00817198">
            <w:pPr>
              <w:pStyle w:val="Body"/>
              <w:rPr>
                <w:color w:val="auto"/>
                <w:sz w:val="24"/>
                <w:szCs w:val="24"/>
                <w:lang w:val="en-GB"/>
              </w:rPr>
            </w:pPr>
            <w:r w:rsidRPr="00080145">
              <w:rPr>
                <w:color w:val="auto"/>
                <w:sz w:val="24"/>
                <w:szCs w:val="24"/>
                <w:lang w:val="en-GB"/>
              </w:rPr>
              <w:t>Metropolitan Police Service</w:t>
            </w:r>
          </w:p>
        </w:tc>
        <w:tc>
          <w:tcPr>
            <w:tcW w:w="8505" w:type="dxa"/>
          </w:tcPr>
          <w:p w14:paraId="563C7D00" w14:textId="77777777" w:rsidR="004A71E2" w:rsidRPr="00080145" w:rsidRDefault="005023B1" w:rsidP="004A71E2">
            <w:pPr>
              <w:pStyle w:val="Bodybullets"/>
              <w:tabs>
                <w:tab w:val="clear" w:pos="454"/>
                <w:tab w:val="num" w:pos="170"/>
              </w:tabs>
              <w:ind w:left="170"/>
              <w:rPr>
                <w:rFonts w:eastAsia="Times New Roman"/>
                <w:b/>
                <w:color w:val="auto"/>
                <w:sz w:val="24"/>
                <w:szCs w:val="24"/>
                <w:lang w:val="en-GB" w:eastAsia="en-GB"/>
              </w:rPr>
            </w:pPr>
            <w:r w:rsidRPr="00080145">
              <w:rPr>
                <w:rFonts w:eastAsia="Times New Roman"/>
                <w:color w:val="auto"/>
                <w:sz w:val="24"/>
                <w:szCs w:val="24"/>
                <w:lang w:val="en-GB" w:eastAsia="en-GB"/>
              </w:rPr>
              <w:t>Co-ordinates, gathers, processes, risk assesses and shares police information relevant to Public Protection, Missing Children, CSE, Child Protection (MERLIN reports)</w:t>
            </w:r>
            <w:r w:rsidR="004A71E2" w:rsidRPr="00080145">
              <w:rPr>
                <w:rFonts w:eastAsia="Times New Roman"/>
                <w:color w:val="auto"/>
                <w:sz w:val="24"/>
                <w:szCs w:val="24"/>
                <w:lang w:val="en-GB" w:eastAsia="en-GB"/>
              </w:rPr>
              <w:t xml:space="preserve"> </w:t>
            </w:r>
          </w:p>
          <w:p w14:paraId="2F6CD397" w14:textId="47A669FA" w:rsidR="005023B1" w:rsidRPr="00080145" w:rsidRDefault="005023B1" w:rsidP="004A71E2">
            <w:pPr>
              <w:pStyle w:val="Bodybullets"/>
              <w:tabs>
                <w:tab w:val="clear" w:pos="454"/>
                <w:tab w:val="num" w:pos="170"/>
              </w:tabs>
              <w:ind w:left="170"/>
              <w:rPr>
                <w:rFonts w:eastAsia="Times New Roman"/>
                <w:b/>
                <w:color w:val="auto"/>
                <w:sz w:val="24"/>
                <w:szCs w:val="24"/>
                <w:lang w:val="en-GB" w:eastAsia="en-GB"/>
              </w:rPr>
            </w:pPr>
            <w:r w:rsidRPr="00080145">
              <w:rPr>
                <w:rFonts w:eastAsia="Times New Roman"/>
                <w:color w:val="auto"/>
                <w:sz w:val="24"/>
                <w:szCs w:val="24"/>
                <w:lang w:val="en-GB" w:eastAsia="en-GB"/>
              </w:rPr>
              <w:t>Supports assessments of risk and vulnerability</w:t>
            </w:r>
          </w:p>
        </w:tc>
      </w:tr>
      <w:tr w:rsidR="005023B1" w:rsidRPr="00080145" w14:paraId="72F97BAD" w14:textId="77777777" w:rsidTr="005023B1">
        <w:tc>
          <w:tcPr>
            <w:tcW w:w="1844" w:type="dxa"/>
          </w:tcPr>
          <w:p w14:paraId="39A21AE4" w14:textId="77777777" w:rsidR="005023B1" w:rsidRPr="00080145" w:rsidRDefault="005023B1" w:rsidP="00817198">
            <w:pPr>
              <w:pStyle w:val="Body"/>
              <w:rPr>
                <w:color w:val="auto"/>
                <w:sz w:val="24"/>
                <w:szCs w:val="24"/>
                <w:lang w:val="en-GB"/>
              </w:rPr>
            </w:pPr>
            <w:r w:rsidRPr="00080145">
              <w:rPr>
                <w:color w:val="auto"/>
                <w:sz w:val="24"/>
                <w:szCs w:val="24"/>
                <w:lang w:val="en-GB"/>
              </w:rPr>
              <w:t xml:space="preserve">National Probation Service </w:t>
            </w:r>
          </w:p>
        </w:tc>
        <w:tc>
          <w:tcPr>
            <w:tcW w:w="8505" w:type="dxa"/>
          </w:tcPr>
          <w:p w14:paraId="55C41635" w14:textId="77777777" w:rsidR="004A71E2" w:rsidRPr="00080145" w:rsidRDefault="005023B1" w:rsidP="004A71E2">
            <w:pPr>
              <w:pStyle w:val="Bodybullets"/>
              <w:tabs>
                <w:tab w:val="clear" w:pos="454"/>
                <w:tab w:val="num" w:pos="170"/>
              </w:tabs>
              <w:ind w:left="170"/>
              <w:rPr>
                <w:rFonts w:eastAsia="Times New Roman"/>
                <w:b/>
                <w:color w:val="auto"/>
                <w:sz w:val="24"/>
                <w:szCs w:val="24"/>
                <w:lang w:val="en-GB" w:eastAsia="en-GB"/>
              </w:rPr>
            </w:pPr>
            <w:r w:rsidRPr="00080145">
              <w:rPr>
                <w:rFonts w:eastAsia="Times New Roman"/>
                <w:color w:val="auto"/>
                <w:sz w:val="24"/>
                <w:szCs w:val="24"/>
                <w:lang w:val="en-GB" w:eastAsia="en-GB"/>
              </w:rPr>
              <w:t>Co-ordinates, gathers, processes, risk assesses and shares Probation information relevant to adult offenders, updates CRC links</w:t>
            </w:r>
            <w:r w:rsidR="004A71E2" w:rsidRPr="00080145">
              <w:rPr>
                <w:rFonts w:eastAsia="Times New Roman"/>
                <w:color w:val="auto"/>
                <w:sz w:val="24"/>
                <w:szCs w:val="24"/>
                <w:lang w:val="en-GB" w:eastAsia="en-GB"/>
              </w:rPr>
              <w:t xml:space="preserve"> </w:t>
            </w:r>
          </w:p>
          <w:p w14:paraId="537CBA07" w14:textId="7875AEE9" w:rsidR="005023B1" w:rsidRPr="00080145" w:rsidRDefault="005023B1" w:rsidP="004A71E2">
            <w:pPr>
              <w:pStyle w:val="Bodybullets"/>
              <w:tabs>
                <w:tab w:val="clear" w:pos="454"/>
                <w:tab w:val="num" w:pos="170"/>
              </w:tabs>
              <w:ind w:left="170"/>
              <w:rPr>
                <w:rFonts w:eastAsia="Times New Roman"/>
                <w:b/>
                <w:color w:val="auto"/>
                <w:sz w:val="24"/>
                <w:szCs w:val="24"/>
                <w:lang w:val="en-GB" w:eastAsia="en-GB"/>
              </w:rPr>
            </w:pPr>
            <w:r w:rsidRPr="00080145">
              <w:rPr>
                <w:rFonts w:eastAsia="Times New Roman"/>
                <w:color w:val="auto"/>
                <w:sz w:val="24"/>
                <w:szCs w:val="24"/>
                <w:lang w:val="en-GB" w:eastAsia="en-GB"/>
              </w:rPr>
              <w:t>Supports assessments of risk &amp; vulnerability</w:t>
            </w:r>
          </w:p>
        </w:tc>
      </w:tr>
      <w:tr w:rsidR="005023B1" w:rsidRPr="00080145" w14:paraId="4C48F322" w14:textId="77777777" w:rsidTr="005023B1">
        <w:tc>
          <w:tcPr>
            <w:tcW w:w="1844" w:type="dxa"/>
          </w:tcPr>
          <w:p w14:paraId="680A9395" w14:textId="06210099" w:rsidR="005023B1" w:rsidRPr="00080145" w:rsidRDefault="004A71E2" w:rsidP="00817198">
            <w:pPr>
              <w:pStyle w:val="Body"/>
              <w:rPr>
                <w:color w:val="auto"/>
                <w:sz w:val="24"/>
                <w:szCs w:val="24"/>
                <w:lang w:val="en-GB"/>
              </w:rPr>
            </w:pPr>
            <w:r w:rsidRPr="00080145">
              <w:rPr>
                <w:color w:val="auto"/>
                <w:sz w:val="24"/>
                <w:szCs w:val="24"/>
                <w:lang w:val="en-GB"/>
              </w:rPr>
              <w:t>Local health partner</w:t>
            </w:r>
          </w:p>
        </w:tc>
        <w:tc>
          <w:tcPr>
            <w:tcW w:w="8505" w:type="dxa"/>
          </w:tcPr>
          <w:p w14:paraId="5E7D8067" w14:textId="77777777" w:rsidR="004A71E2" w:rsidRPr="00080145" w:rsidRDefault="005023B1" w:rsidP="004A71E2">
            <w:pPr>
              <w:pStyle w:val="Bodybullets"/>
              <w:tabs>
                <w:tab w:val="clear" w:pos="454"/>
                <w:tab w:val="num" w:pos="170"/>
              </w:tabs>
              <w:ind w:left="170"/>
              <w:rPr>
                <w:rFonts w:eastAsia="Times New Roman"/>
                <w:b/>
                <w:color w:val="auto"/>
                <w:sz w:val="24"/>
                <w:szCs w:val="24"/>
                <w:lang w:val="en-GB" w:eastAsia="en-GB"/>
              </w:rPr>
            </w:pPr>
            <w:r w:rsidRPr="00080145">
              <w:rPr>
                <w:rFonts w:eastAsia="Times New Roman"/>
                <w:color w:val="auto"/>
                <w:sz w:val="24"/>
                <w:szCs w:val="24"/>
                <w:lang w:val="en-GB" w:eastAsia="en-GB"/>
              </w:rPr>
              <w:t>Co-ordinates, gathers, processes, risk assesses and shares health information relevant to the child or young person</w:t>
            </w:r>
            <w:r w:rsidR="004A71E2" w:rsidRPr="00080145">
              <w:rPr>
                <w:rFonts w:eastAsia="Times New Roman"/>
                <w:color w:val="auto"/>
                <w:sz w:val="24"/>
                <w:szCs w:val="24"/>
                <w:lang w:val="en-GB" w:eastAsia="en-GB"/>
              </w:rPr>
              <w:t xml:space="preserve"> </w:t>
            </w:r>
          </w:p>
          <w:p w14:paraId="2F863FC3" w14:textId="48617976" w:rsidR="005023B1" w:rsidRPr="00080145" w:rsidRDefault="005023B1" w:rsidP="004A71E2">
            <w:pPr>
              <w:pStyle w:val="Bodybullets"/>
              <w:tabs>
                <w:tab w:val="clear" w:pos="454"/>
                <w:tab w:val="num" w:pos="170"/>
              </w:tabs>
              <w:ind w:left="170"/>
              <w:rPr>
                <w:rFonts w:eastAsia="Times New Roman"/>
                <w:b/>
                <w:color w:val="auto"/>
                <w:sz w:val="24"/>
                <w:szCs w:val="24"/>
                <w:lang w:val="en-GB" w:eastAsia="en-GB"/>
              </w:rPr>
            </w:pPr>
            <w:r w:rsidRPr="00080145">
              <w:rPr>
                <w:rFonts w:eastAsia="Times New Roman"/>
                <w:color w:val="auto"/>
                <w:sz w:val="24"/>
                <w:szCs w:val="24"/>
                <w:lang w:val="en-GB" w:eastAsia="en-GB"/>
              </w:rPr>
              <w:t>Supports assessment of risk and vulnerability Identifies opportunities for early help, joint assessments and interventions</w:t>
            </w:r>
          </w:p>
        </w:tc>
      </w:tr>
      <w:tr w:rsidR="005023B1" w:rsidRPr="00080145" w14:paraId="5CA80F4B" w14:textId="77777777" w:rsidTr="005023B1">
        <w:tc>
          <w:tcPr>
            <w:tcW w:w="1844" w:type="dxa"/>
          </w:tcPr>
          <w:p w14:paraId="25A42A48" w14:textId="46FDE0E5" w:rsidR="005023B1" w:rsidRPr="00080145" w:rsidRDefault="004A71E2" w:rsidP="00817198">
            <w:pPr>
              <w:pStyle w:val="Body"/>
              <w:rPr>
                <w:color w:val="auto"/>
                <w:sz w:val="24"/>
                <w:szCs w:val="24"/>
                <w:lang w:val="en-GB"/>
              </w:rPr>
            </w:pPr>
            <w:r w:rsidRPr="00080145">
              <w:rPr>
                <w:color w:val="auto"/>
                <w:sz w:val="24"/>
                <w:szCs w:val="24"/>
                <w:lang w:val="en-GB"/>
              </w:rPr>
              <w:t>Local CCG</w:t>
            </w:r>
          </w:p>
        </w:tc>
        <w:tc>
          <w:tcPr>
            <w:tcW w:w="8505" w:type="dxa"/>
          </w:tcPr>
          <w:p w14:paraId="3E214935" w14:textId="77777777" w:rsidR="005023B1" w:rsidRPr="00080145" w:rsidRDefault="005023B1" w:rsidP="00817198">
            <w:pPr>
              <w:pStyle w:val="Bodybullets"/>
              <w:tabs>
                <w:tab w:val="clear" w:pos="454"/>
                <w:tab w:val="num" w:pos="170"/>
              </w:tabs>
              <w:ind w:left="170"/>
              <w:rPr>
                <w:rFonts w:eastAsia="Times New Roman"/>
                <w:color w:val="auto"/>
                <w:sz w:val="24"/>
                <w:szCs w:val="24"/>
                <w:lang w:val="en-GB" w:eastAsia="en-GB"/>
              </w:rPr>
            </w:pPr>
            <w:r w:rsidRPr="00080145">
              <w:rPr>
                <w:rFonts w:eastAsia="Times New Roman"/>
                <w:color w:val="auto"/>
                <w:sz w:val="24"/>
                <w:szCs w:val="24"/>
                <w:lang w:val="en-GB" w:eastAsia="en-GB"/>
              </w:rPr>
              <w:t xml:space="preserve">Co-ordinates, gathers, processes, risk assesses and shares health information relevant to midwifery, ante-natal, health visiting, school nursing, specialist health services, GP’s </w:t>
            </w:r>
          </w:p>
          <w:p w14:paraId="6E361012" w14:textId="77777777" w:rsidR="004A71E2" w:rsidRPr="00080145" w:rsidRDefault="005023B1" w:rsidP="004A71E2">
            <w:pPr>
              <w:pStyle w:val="Bodybullets"/>
              <w:tabs>
                <w:tab w:val="clear" w:pos="454"/>
                <w:tab w:val="num" w:pos="170"/>
              </w:tabs>
              <w:ind w:left="170"/>
              <w:rPr>
                <w:rFonts w:eastAsia="Times New Roman"/>
                <w:b/>
                <w:color w:val="auto"/>
                <w:sz w:val="24"/>
                <w:szCs w:val="24"/>
                <w:lang w:val="en-GB" w:eastAsia="en-GB"/>
              </w:rPr>
            </w:pPr>
            <w:r w:rsidRPr="00080145">
              <w:rPr>
                <w:rFonts w:eastAsia="Times New Roman"/>
                <w:color w:val="auto"/>
                <w:sz w:val="24"/>
                <w:szCs w:val="24"/>
                <w:lang w:val="en-GB" w:eastAsia="en-GB"/>
              </w:rPr>
              <w:t>Piloting joint early help visits with MASH social workers</w:t>
            </w:r>
            <w:r w:rsidR="004A71E2" w:rsidRPr="00080145">
              <w:rPr>
                <w:rFonts w:eastAsia="Times New Roman"/>
                <w:color w:val="auto"/>
                <w:sz w:val="24"/>
                <w:szCs w:val="24"/>
                <w:lang w:val="en-GB" w:eastAsia="en-GB"/>
              </w:rPr>
              <w:t xml:space="preserve"> </w:t>
            </w:r>
          </w:p>
          <w:p w14:paraId="5934E0FC" w14:textId="0C5684EC" w:rsidR="005023B1" w:rsidRPr="00080145" w:rsidRDefault="005023B1" w:rsidP="004A71E2">
            <w:pPr>
              <w:pStyle w:val="Bodybullets"/>
              <w:tabs>
                <w:tab w:val="clear" w:pos="454"/>
                <w:tab w:val="num" w:pos="170"/>
              </w:tabs>
              <w:ind w:left="170"/>
              <w:rPr>
                <w:rFonts w:eastAsia="Times New Roman"/>
                <w:b/>
                <w:color w:val="auto"/>
                <w:sz w:val="24"/>
                <w:szCs w:val="24"/>
                <w:lang w:val="en-GB" w:eastAsia="en-GB"/>
              </w:rPr>
            </w:pPr>
            <w:r w:rsidRPr="00080145">
              <w:rPr>
                <w:rFonts w:eastAsia="Times New Roman"/>
                <w:color w:val="auto"/>
                <w:sz w:val="24"/>
                <w:szCs w:val="24"/>
                <w:lang w:val="en-GB" w:eastAsia="en-GB"/>
              </w:rPr>
              <w:t>Supports assessments of risk &amp; vulnerability</w:t>
            </w:r>
          </w:p>
        </w:tc>
      </w:tr>
      <w:tr w:rsidR="005023B1" w:rsidRPr="00080145" w14:paraId="4798C814" w14:textId="77777777" w:rsidTr="005023B1">
        <w:tc>
          <w:tcPr>
            <w:tcW w:w="1844" w:type="dxa"/>
          </w:tcPr>
          <w:p w14:paraId="365F91BB" w14:textId="77777777" w:rsidR="005023B1" w:rsidRPr="00080145" w:rsidRDefault="005023B1" w:rsidP="00817198">
            <w:pPr>
              <w:pStyle w:val="Body"/>
              <w:rPr>
                <w:color w:val="auto"/>
                <w:sz w:val="24"/>
                <w:szCs w:val="24"/>
                <w:lang w:val="en-GB"/>
              </w:rPr>
            </w:pPr>
            <w:r w:rsidRPr="00080145">
              <w:rPr>
                <w:color w:val="auto"/>
                <w:sz w:val="24"/>
                <w:szCs w:val="24"/>
                <w:lang w:val="en-GB"/>
              </w:rPr>
              <w:lastRenderedPageBreak/>
              <w:t>Department for Work &amp; Pensions (inc Job Centre Plus)</w:t>
            </w:r>
          </w:p>
        </w:tc>
        <w:tc>
          <w:tcPr>
            <w:tcW w:w="8505" w:type="dxa"/>
          </w:tcPr>
          <w:p w14:paraId="327612B7" w14:textId="77777777" w:rsidR="005023B1" w:rsidRPr="00080145" w:rsidRDefault="005023B1" w:rsidP="00817198">
            <w:pPr>
              <w:pStyle w:val="Bodybullets"/>
              <w:tabs>
                <w:tab w:val="clear" w:pos="454"/>
                <w:tab w:val="num" w:pos="170"/>
              </w:tabs>
              <w:ind w:left="170"/>
              <w:rPr>
                <w:rFonts w:eastAsia="Times New Roman"/>
                <w:color w:val="auto"/>
                <w:sz w:val="24"/>
                <w:szCs w:val="24"/>
                <w:lang w:val="en-GB" w:eastAsia="en-GB"/>
              </w:rPr>
            </w:pPr>
            <w:r w:rsidRPr="00080145">
              <w:rPr>
                <w:rFonts w:eastAsia="Times New Roman"/>
                <w:color w:val="auto"/>
                <w:sz w:val="24"/>
                <w:szCs w:val="24"/>
                <w:lang w:val="en-GB" w:eastAsia="en-GB"/>
              </w:rPr>
              <w:t>Co-ordinates, gathers, processes, risk assesses and shares information regarding families in receipt of benefits</w:t>
            </w:r>
          </w:p>
          <w:p w14:paraId="354569C0" w14:textId="77777777" w:rsidR="002D3B54" w:rsidRPr="00080145" w:rsidRDefault="005023B1" w:rsidP="002D3B54">
            <w:pPr>
              <w:pStyle w:val="Bodybullets"/>
              <w:tabs>
                <w:tab w:val="clear" w:pos="454"/>
                <w:tab w:val="num" w:pos="170"/>
              </w:tabs>
              <w:ind w:left="170"/>
              <w:rPr>
                <w:rFonts w:eastAsia="Times New Roman"/>
                <w:b/>
                <w:color w:val="auto"/>
                <w:sz w:val="24"/>
                <w:szCs w:val="24"/>
                <w:lang w:val="en-GB" w:eastAsia="en-GB"/>
              </w:rPr>
            </w:pPr>
            <w:r w:rsidRPr="00080145">
              <w:rPr>
                <w:rFonts w:eastAsia="Times New Roman"/>
                <w:color w:val="auto"/>
                <w:sz w:val="24"/>
                <w:szCs w:val="24"/>
                <w:lang w:val="en-GB" w:eastAsia="en-GB"/>
              </w:rPr>
              <w:t>Advises on eligibility for accessing benefits</w:t>
            </w:r>
          </w:p>
          <w:p w14:paraId="26EF5B92" w14:textId="44C784FB" w:rsidR="005023B1" w:rsidRPr="00080145" w:rsidRDefault="005023B1" w:rsidP="002D3B54">
            <w:pPr>
              <w:pStyle w:val="Bodybullets"/>
              <w:tabs>
                <w:tab w:val="clear" w:pos="454"/>
                <w:tab w:val="num" w:pos="170"/>
              </w:tabs>
              <w:ind w:left="170"/>
              <w:rPr>
                <w:rFonts w:eastAsia="Times New Roman"/>
                <w:b/>
                <w:color w:val="auto"/>
                <w:sz w:val="24"/>
                <w:szCs w:val="24"/>
                <w:lang w:val="en-GB" w:eastAsia="en-GB"/>
              </w:rPr>
            </w:pPr>
            <w:r w:rsidRPr="00080145">
              <w:rPr>
                <w:rFonts w:eastAsia="Times New Roman"/>
                <w:color w:val="auto"/>
                <w:sz w:val="24"/>
                <w:szCs w:val="24"/>
                <w:lang w:val="en-GB" w:eastAsia="en-GB"/>
              </w:rPr>
              <w:t xml:space="preserve">Supports assessments of risk and vulnerability. </w:t>
            </w:r>
          </w:p>
        </w:tc>
      </w:tr>
      <w:tr w:rsidR="00BC2D2F" w:rsidRPr="00080145" w14:paraId="6867D08C" w14:textId="77777777" w:rsidTr="005023B1">
        <w:tc>
          <w:tcPr>
            <w:tcW w:w="1844" w:type="dxa"/>
          </w:tcPr>
          <w:p w14:paraId="4B409183" w14:textId="77777777" w:rsidR="00BC2D2F" w:rsidRPr="00080145" w:rsidRDefault="00BC2D2F" w:rsidP="00BC2D2F">
            <w:pPr>
              <w:pStyle w:val="Body"/>
              <w:rPr>
                <w:color w:val="auto"/>
                <w:sz w:val="24"/>
                <w:szCs w:val="24"/>
                <w:lang w:val="en-GB"/>
              </w:rPr>
            </w:pPr>
            <w:r w:rsidRPr="00080145">
              <w:rPr>
                <w:color w:val="auto"/>
                <w:sz w:val="24"/>
                <w:szCs w:val="24"/>
                <w:lang w:val="en-GB"/>
              </w:rPr>
              <w:t>London Ambulance Service</w:t>
            </w:r>
          </w:p>
        </w:tc>
        <w:tc>
          <w:tcPr>
            <w:tcW w:w="8505" w:type="dxa"/>
          </w:tcPr>
          <w:p w14:paraId="39163C17" w14:textId="1EBC638A" w:rsidR="00BC2D2F" w:rsidRPr="00080145" w:rsidRDefault="005E7DB1" w:rsidP="00BC2D2F">
            <w:pPr>
              <w:pStyle w:val="Bodybullets"/>
              <w:tabs>
                <w:tab w:val="clear" w:pos="454"/>
                <w:tab w:val="num" w:pos="170"/>
              </w:tabs>
              <w:ind w:left="170"/>
              <w:rPr>
                <w:rFonts w:eastAsia="Times New Roman"/>
                <w:b/>
                <w:color w:val="auto"/>
                <w:sz w:val="24"/>
                <w:szCs w:val="24"/>
                <w:lang w:val="en-GB" w:eastAsia="en-GB"/>
              </w:rPr>
            </w:pPr>
            <w:r w:rsidRPr="00080145">
              <w:rPr>
                <w:rFonts w:eastAsia="Times New Roman"/>
                <w:color w:val="auto"/>
                <w:sz w:val="24"/>
                <w:szCs w:val="24"/>
                <w:lang w:val="en-GB" w:eastAsia="en-GB"/>
              </w:rPr>
              <w:t>Provides emergency transportation, urgent care and support to the health service</w:t>
            </w:r>
          </w:p>
          <w:p w14:paraId="3C437ADA" w14:textId="7CD4AA83" w:rsidR="005E7DB1" w:rsidRPr="00080145" w:rsidRDefault="005E7DB1" w:rsidP="00BC2D2F">
            <w:pPr>
              <w:pStyle w:val="Bodybullets"/>
              <w:tabs>
                <w:tab w:val="clear" w:pos="454"/>
                <w:tab w:val="num" w:pos="170"/>
              </w:tabs>
              <w:ind w:left="170"/>
              <w:rPr>
                <w:rFonts w:eastAsia="Times New Roman"/>
                <w:b/>
                <w:color w:val="auto"/>
                <w:sz w:val="24"/>
                <w:szCs w:val="24"/>
                <w:lang w:val="en-GB" w:eastAsia="en-GB"/>
              </w:rPr>
            </w:pPr>
            <w:r w:rsidRPr="00080145">
              <w:rPr>
                <w:rFonts w:eastAsia="Times New Roman"/>
                <w:bCs/>
                <w:color w:val="auto"/>
                <w:sz w:val="24"/>
                <w:szCs w:val="24"/>
                <w:lang w:val="en-GB" w:eastAsia="en-GB"/>
              </w:rPr>
              <w:t>Supports assessments of risk and vulnerability</w:t>
            </w:r>
          </w:p>
          <w:p w14:paraId="32D67589" w14:textId="059E5CE7" w:rsidR="00BC2D2F" w:rsidRPr="00080145" w:rsidRDefault="00BC2D2F" w:rsidP="00BC2D2F">
            <w:pPr>
              <w:rPr>
                <w:rFonts w:eastAsia="Times New Roman"/>
                <w:b/>
                <w:color w:val="auto"/>
                <w:sz w:val="24"/>
                <w:szCs w:val="24"/>
                <w:lang w:eastAsia="en-GB"/>
              </w:rPr>
            </w:pPr>
          </w:p>
        </w:tc>
      </w:tr>
      <w:tr w:rsidR="00BC2D2F" w:rsidRPr="00080145" w14:paraId="729A0441" w14:textId="77777777" w:rsidTr="005023B1">
        <w:tc>
          <w:tcPr>
            <w:tcW w:w="1844" w:type="dxa"/>
          </w:tcPr>
          <w:p w14:paraId="71B88B82" w14:textId="092C857A" w:rsidR="00BC2D2F" w:rsidRPr="00080145" w:rsidRDefault="00BC2D2F" w:rsidP="00BC2D2F">
            <w:pPr>
              <w:pStyle w:val="Body"/>
              <w:rPr>
                <w:color w:val="auto"/>
                <w:sz w:val="24"/>
                <w:szCs w:val="24"/>
                <w:lang w:val="en-GB"/>
              </w:rPr>
            </w:pPr>
            <w:r w:rsidRPr="00080145">
              <w:rPr>
                <w:color w:val="auto"/>
                <w:sz w:val="24"/>
                <w:szCs w:val="24"/>
                <w:lang w:val="en-GB"/>
              </w:rPr>
              <w:t>Local substance misuse partner</w:t>
            </w:r>
          </w:p>
        </w:tc>
        <w:tc>
          <w:tcPr>
            <w:tcW w:w="8505" w:type="dxa"/>
          </w:tcPr>
          <w:p w14:paraId="44E3BEC2" w14:textId="77777777" w:rsidR="00BC2D2F" w:rsidRPr="00080145" w:rsidRDefault="00BC2D2F" w:rsidP="00BC2D2F">
            <w:pPr>
              <w:pStyle w:val="Bodybullets"/>
              <w:tabs>
                <w:tab w:val="clear" w:pos="454"/>
                <w:tab w:val="num" w:pos="170"/>
              </w:tabs>
              <w:ind w:left="170"/>
              <w:rPr>
                <w:rFonts w:eastAsia="Times New Roman"/>
                <w:b/>
                <w:color w:val="auto"/>
                <w:sz w:val="24"/>
                <w:szCs w:val="24"/>
                <w:lang w:val="en-GB" w:eastAsia="en-GB"/>
              </w:rPr>
            </w:pPr>
            <w:r w:rsidRPr="00080145">
              <w:rPr>
                <w:rFonts w:eastAsia="Times New Roman"/>
                <w:color w:val="auto"/>
                <w:sz w:val="24"/>
                <w:szCs w:val="24"/>
                <w:lang w:val="en-GB" w:eastAsia="en-GB"/>
              </w:rPr>
              <w:t xml:space="preserve">Co-ordinates, gathers, processes, risk assesses and shares drug and alcohol service information relevant to adults and young people </w:t>
            </w:r>
          </w:p>
          <w:p w14:paraId="49B652F9" w14:textId="51304C16" w:rsidR="00BC2D2F" w:rsidRPr="00080145" w:rsidRDefault="00BC2D2F" w:rsidP="00BC2D2F">
            <w:pPr>
              <w:pStyle w:val="Bodybullets"/>
              <w:tabs>
                <w:tab w:val="clear" w:pos="454"/>
                <w:tab w:val="num" w:pos="170"/>
              </w:tabs>
              <w:ind w:left="170"/>
              <w:rPr>
                <w:rFonts w:eastAsia="Times New Roman"/>
                <w:b/>
                <w:color w:val="auto"/>
                <w:sz w:val="24"/>
                <w:szCs w:val="24"/>
                <w:lang w:val="en-GB" w:eastAsia="en-GB"/>
              </w:rPr>
            </w:pPr>
            <w:r w:rsidRPr="00080145">
              <w:rPr>
                <w:rFonts w:eastAsia="Times New Roman"/>
                <w:color w:val="auto"/>
                <w:sz w:val="24"/>
                <w:szCs w:val="24"/>
                <w:lang w:val="en-GB" w:eastAsia="en-GB"/>
              </w:rPr>
              <w:t>Supports assessment of risk and vulnerability Identifies opportunities for early help, joint assessments and interventions</w:t>
            </w:r>
          </w:p>
        </w:tc>
      </w:tr>
      <w:tr w:rsidR="00BC2D2F" w:rsidRPr="00080145" w14:paraId="3A4746B9" w14:textId="77777777" w:rsidTr="005023B1">
        <w:tc>
          <w:tcPr>
            <w:tcW w:w="1844" w:type="dxa"/>
          </w:tcPr>
          <w:p w14:paraId="19A21DBD" w14:textId="3F981C33" w:rsidR="00BC2D2F" w:rsidRPr="00080145" w:rsidRDefault="00BC2D2F" w:rsidP="00BC2D2F">
            <w:pPr>
              <w:pStyle w:val="Body"/>
              <w:rPr>
                <w:color w:val="auto"/>
                <w:sz w:val="24"/>
                <w:szCs w:val="24"/>
                <w:lang w:val="en-GB"/>
              </w:rPr>
            </w:pPr>
            <w:r w:rsidRPr="00080145">
              <w:rPr>
                <w:color w:val="auto"/>
                <w:sz w:val="24"/>
                <w:szCs w:val="24"/>
                <w:lang w:val="en-GB"/>
              </w:rPr>
              <w:t>Local housing partner if ALMO</w:t>
            </w:r>
          </w:p>
        </w:tc>
        <w:tc>
          <w:tcPr>
            <w:tcW w:w="8505" w:type="dxa"/>
          </w:tcPr>
          <w:p w14:paraId="464385C3" w14:textId="77777777" w:rsidR="00BC2D2F" w:rsidRPr="00080145" w:rsidRDefault="00BC2D2F" w:rsidP="00BC2D2F">
            <w:pPr>
              <w:pStyle w:val="Bodybullets"/>
              <w:tabs>
                <w:tab w:val="clear" w:pos="454"/>
                <w:tab w:val="num" w:pos="170"/>
              </w:tabs>
              <w:ind w:left="170"/>
              <w:rPr>
                <w:rFonts w:eastAsia="Times New Roman"/>
                <w:b/>
                <w:color w:val="auto"/>
                <w:sz w:val="24"/>
                <w:szCs w:val="24"/>
                <w:lang w:val="en-GB" w:eastAsia="en-GB"/>
              </w:rPr>
            </w:pPr>
            <w:r w:rsidRPr="00080145">
              <w:rPr>
                <w:rFonts w:eastAsia="Times New Roman"/>
                <w:color w:val="auto"/>
                <w:sz w:val="24"/>
                <w:szCs w:val="24"/>
                <w:lang w:val="en-GB" w:eastAsia="en-GB"/>
              </w:rPr>
              <w:t xml:space="preserve">Co-ordinates, gathers, processes, risk assesses and shares housing applicants and Barnet Homes tenant and leaseholder’s information relevant to children and adults </w:t>
            </w:r>
          </w:p>
          <w:p w14:paraId="1D5AAA63" w14:textId="7817DB43" w:rsidR="00BC2D2F" w:rsidRPr="00080145" w:rsidRDefault="00BC2D2F" w:rsidP="00BC2D2F">
            <w:pPr>
              <w:pStyle w:val="Bodybullets"/>
              <w:tabs>
                <w:tab w:val="clear" w:pos="454"/>
                <w:tab w:val="num" w:pos="170"/>
              </w:tabs>
              <w:ind w:left="170"/>
              <w:rPr>
                <w:rFonts w:eastAsia="Times New Roman"/>
                <w:b/>
                <w:color w:val="auto"/>
                <w:sz w:val="24"/>
                <w:szCs w:val="24"/>
                <w:lang w:val="en-GB" w:eastAsia="en-GB"/>
              </w:rPr>
            </w:pPr>
            <w:r w:rsidRPr="00080145">
              <w:rPr>
                <w:rFonts w:eastAsia="Times New Roman"/>
                <w:color w:val="auto"/>
                <w:sz w:val="24"/>
                <w:szCs w:val="24"/>
                <w:lang w:val="en-GB" w:eastAsia="en-GB"/>
              </w:rPr>
              <w:t>Advises on eligibility for accessing accommodation under the homeless legislation and Housing Allocation Scheme</w:t>
            </w:r>
          </w:p>
        </w:tc>
      </w:tr>
      <w:tr w:rsidR="00BC2D2F" w:rsidRPr="00080145" w14:paraId="141A894A" w14:textId="77777777" w:rsidTr="005023B1">
        <w:tc>
          <w:tcPr>
            <w:tcW w:w="1844" w:type="dxa"/>
          </w:tcPr>
          <w:p w14:paraId="66B604A6" w14:textId="3829B539" w:rsidR="00BC2D2F" w:rsidRPr="00080145" w:rsidRDefault="00BC2D2F" w:rsidP="00BC2D2F">
            <w:pPr>
              <w:pStyle w:val="Body"/>
              <w:rPr>
                <w:color w:val="auto"/>
                <w:sz w:val="24"/>
                <w:szCs w:val="24"/>
                <w:lang w:val="en-GB"/>
              </w:rPr>
            </w:pPr>
            <w:r w:rsidRPr="00080145">
              <w:rPr>
                <w:color w:val="auto"/>
                <w:sz w:val="24"/>
                <w:szCs w:val="24"/>
                <w:lang w:val="en-GB"/>
              </w:rPr>
              <w:t>Local voluntary groups</w:t>
            </w:r>
          </w:p>
        </w:tc>
        <w:tc>
          <w:tcPr>
            <w:tcW w:w="8505" w:type="dxa"/>
          </w:tcPr>
          <w:p w14:paraId="5B13FB8E" w14:textId="6DD0D3C8" w:rsidR="009B74B8" w:rsidRDefault="009B74B8" w:rsidP="009B74B8">
            <w:pPr>
              <w:pStyle w:val="Bodybullets"/>
              <w:numPr>
                <w:ilvl w:val="0"/>
                <w:numId w:val="18"/>
              </w:numPr>
              <w:ind w:left="170"/>
              <w:rPr>
                <w:b/>
                <w:bCs/>
                <w:color w:val="auto"/>
                <w:sz w:val="24"/>
                <w:szCs w:val="24"/>
                <w:lang w:eastAsia="en-GB"/>
              </w:rPr>
            </w:pPr>
            <w:r>
              <w:rPr>
                <w:color w:val="auto"/>
                <w:sz w:val="24"/>
                <w:szCs w:val="24"/>
                <w:lang w:eastAsia="en-GB"/>
              </w:rPr>
              <w:t>Co-ordinate</w:t>
            </w:r>
            <w:r w:rsidR="00B53CEB">
              <w:rPr>
                <w:color w:val="auto"/>
                <w:sz w:val="24"/>
                <w:szCs w:val="24"/>
                <w:lang w:eastAsia="en-GB"/>
              </w:rPr>
              <w:t>s</w:t>
            </w:r>
            <w:r>
              <w:rPr>
                <w:color w:val="auto"/>
                <w:sz w:val="24"/>
                <w:szCs w:val="24"/>
                <w:lang w:eastAsia="en-GB"/>
              </w:rPr>
              <w:t xml:space="preserve">, gathers, processes, risk assesses and shares information relevant to adults and young people service users </w:t>
            </w:r>
          </w:p>
          <w:p w14:paraId="6FDD33D6" w14:textId="28A65958" w:rsidR="00F8173C" w:rsidRPr="00080145" w:rsidRDefault="009B74B8" w:rsidP="009B74B8">
            <w:pPr>
              <w:pStyle w:val="Bodybullets"/>
              <w:tabs>
                <w:tab w:val="clear" w:pos="454"/>
                <w:tab w:val="num" w:pos="170"/>
              </w:tabs>
              <w:ind w:left="170"/>
              <w:rPr>
                <w:rFonts w:eastAsia="Times New Roman"/>
                <w:color w:val="auto"/>
                <w:sz w:val="24"/>
                <w:szCs w:val="24"/>
                <w:lang w:val="en-GB" w:eastAsia="en-GB"/>
              </w:rPr>
            </w:pPr>
            <w:r>
              <w:rPr>
                <w:color w:val="auto"/>
                <w:sz w:val="24"/>
                <w:szCs w:val="24"/>
                <w:lang w:eastAsia="en-GB"/>
              </w:rPr>
              <w:t>Supports assessment of risk and vulnerability Identifies opportunities for early help, joint assessments and interventions</w:t>
            </w:r>
          </w:p>
        </w:tc>
      </w:tr>
    </w:tbl>
    <w:p w14:paraId="17E67E9D" w14:textId="77777777" w:rsidR="006C1607" w:rsidRPr="00080145" w:rsidRDefault="006C1607">
      <w:pPr>
        <w:spacing w:before="0" w:after="0" w:line="240" w:lineRule="auto"/>
        <w:rPr>
          <w:color w:val="auto"/>
        </w:rPr>
      </w:pPr>
    </w:p>
    <w:p w14:paraId="5B36D1E9" w14:textId="77777777" w:rsidR="006C1607" w:rsidRPr="00080145" w:rsidRDefault="006C1607">
      <w:pPr>
        <w:spacing w:before="0" w:after="0" w:line="240" w:lineRule="auto"/>
        <w:rPr>
          <w:color w:val="auto"/>
        </w:rPr>
      </w:pPr>
    </w:p>
    <w:p w14:paraId="6530B393" w14:textId="77777777" w:rsidR="006C1607" w:rsidRPr="00080145" w:rsidRDefault="006C1607" w:rsidP="006C1607">
      <w:pPr>
        <w:pStyle w:val="Heading1"/>
        <w:numPr>
          <w:ilvl w:val="0"/>
          <w:numId w:val="10"/>
        </w:numPr>
        <w:spacing w:before="0" w:after="120"/>
        <w:sectPr w:rsidR="006C1607" w:rsidRPr="00080145" w:rsidSect="00817198">
          <w:pgSz w:w="11900" w:h="16820"/>
          <w:pgMar w:top="1135" w:right="851" w:bottom="1418" w:left="851" w:header="567" w:footer="482" w:gutter="0"/>
          <w:cols w:space="708"/>
          <w:docGrid w:linePitch="299"/>
        </w:sectPr>
      </w:pPr>
      <w:bookmarkStart w:id="64" w:name="_Toc18415849"/>
    </w:p>
    <w:p w14:paraId="694B1E60" w14:textId="15CC99B0" w:rsidR="006C1607" w:rsidRPr="00080145" w:rsidRDefault="006C1607" w:rsidP="007F1426">
      <w:pPr>
        <w:pStyle w:val="Heading1"/>
      </w:pPr>
      <w:bookmarkStart w:id="65" w:name="_Ref55557370"/>
      <w:bookmarkStart w:id="66" w:name="_Toc59206208"/>
      <w:r w:rsidRPr="00080145">
        <w:lastRenderedPageBreak/>
        <w:t>Appendix B: Data Protection &amp; Caldicott Principles</w:t>
      </w:r>
      <w:bookmarkEnd w:id="64"/>
      <w:bookmarkEnd w:id="65"/>
      <w:bookmarkEnd w:id="66"/>
      <w:r w:rsidRPr="00080145">
        <w:t xml:space="preserve"> </w:t>
      </w:r>
    </w:p>
    <w:p w14:paraId="01D93D18" w14:textId="77777777" w:rsidR="006C1607" w:rsidRPr="00080145" w:rsidRDefault="006C1607" w:rsidP="006C1607"/>
    <w:tbl>
      <w:tblPr>
        <w:tblStyle w:val="TableGrid"/>
        <w:tblW w:w="1545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6"/>
        <w:gridCol w:w="7881"/>
      </w:tblGrid>
      <w:tr w:rsidR="006C1607" w:rsidRPr="00080145" w14:paraId="7A8B854E" w14:textId="77777777" w:rsidTr="00817198">
        <w:tc>
          <w:tcPr>
            <w:tcW w:w="7017" w:type="dxa"/>
          </w:tcPr>
          <w:p w14:paraId="06096AA2" w14:textId="77777777" w:rsidR="006C1607" w:rsidRPr="00080145" w:rsidRDefault="006C1607" w:rsidP="00817198">
            <w:pPr>
              <w:pStyle w:val="NoSpacing"/>
              <w:jc w:val="center"/>
              <w:rPr>
                <w:b/>
              </w:rPr>
            </w:pPr>
            <w:r w:rsidRPr="00080145">
              <w:rPr>
                <w:b/>
              </w:rPr>
              <w:t>The Principles as described in Article 5 of the General Data Protection Regulation.</w:t>
            </w:r>
          </w:p>
          <w:p w14:paraId="324C8313" w14:textId="77777777" w:rsidR="006C1607" w:rsidRPr="00080145" w:rsidRDefault="006C1607" w:rsidP="00817198">
            <w:pPr>
              <w:jc w:val="center"/>
              <w:rPr>
                <w:b/>
              </w:rPr>
            </w:pPr>
          </w:p>
        </w:tc>
        <w:tc>
          <w:tcPr>
            <w:tcW w:w="8434" w:type="dxa"/>
          </w:tcPr>
          <w:p w14:paraId="3C4D3F8B" w14:textId="77777777" w:rsidR="006C1607" w:rsidRPr="00080145" w:rsidRDefault="006C1607" w:rsidP="00817198">
            <w:pPr>
              <w:jc w:val="center"/>
              <w:rPr>
                <w:b/>
              </w:rPr>
            </w:pPr>
            <w:r w:rsidRPr="00080145">
              <w:rPr>
                <w:b/>
              </w:rPr>
              <w:t>The Caldicott Principles</w:t>
            </w:r>
          </w:p>
        </w:tc>
      </w:tr>
      <w:tr w:rsidR="006C1607" w:rsidRPr="00080145" w14:paraId="7C1F2EAE" w14:textId="77777777" w:rsidTr="00817198">
        <w:tc>
          <w:tcPr>
            <w:tcW w:w="7017" w:type="dxa"/>
          </w:tcPr>
          <w:p w14:paraId="558606B5" w14:textId="77777777" w:rsidR="006C1607" w:rsidRPr="00080145" w:rsidRDefault="006C1607" w:rsidP="00817198">
            <w:r w:rsidRPr="00080145">
              <w:rPr>
                <w:noProof/>
                <w:szCs w:val="24"/>
              </w:rPr>
              <w:drawing>
                <wp:inline distT="0" distB="0" distL="0" distR="0" wp14:anchorId="534EB149" wp14:editId="0CF422E7">
                  <wp:extent cx="5064372" cy="317182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3 Principles.jpg"/>
                          <pic:cNvPicPr/>
                        </pic:nvPicPr>
                        <pic:blipFill>
                          <a:blip r:embed="rId21">
                            <a:extLst>
                              <a:ext uri="{28A0092B-C50C-407E-A947-70E740481C1C}">
                                <a14:useLocalDpi xmlns:a14="http://schemas.microsoft.com/office/drawing/2010/main" val="0"/>
                              </a:ext>
                            </a:extLst>
                          </a:blip>
                          <a:stretch>
                            <a:fillRect/>
                          </a:stretch>
                        </pic:blipFill>
                        <pic:spPr>
                          <a:xfrm>
                            <a:off x="0" y="0"/>
                            <a:ext cx="5075350" cy="3178700"/>
                          </a:xfrm>
                          <a:prstGeom prst="rect">
                            <a:avLst/>
                          </a:prstGeom>
                        </pic:spPr>
                      </pic:pic>
                    </a:graphicData>
                  </a:graphic>
                </wp:inline>
              </w:drawing>
            </w:r>
          </w:p>
        </w:tc>
        <w:tc>
          <w:tcPr>
            <w:tcW w:w="8434" w:type="dxa"/>
          </w:tcPr>
          <w:p w14:paraId="11BC33E2" w14:textId="77777777" w:rsidR="006C1607" w:rsidRPr="00080145" w:rsidRDefault="006C1607" w:rsidP="00817198">
            <w:r w:rsidRPr="00080145">
              <w:rPr>
                <w:noProof/>
              </w:rPr>
              <w:drawing>
                <wp:inline distT="0" distB="0" distL="0" distR="0" wp14:anchorId="0CEBA22E" wp14:editId="46B98345">
                  <wp:extent cx="4867862" cy="3823296"/>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09 Caldicott Prinicples.jpg"/>
                          <pic:cNvPicPr/>
                        </pic:nvPicPr>
                        <pic:blipFill>
                          <a:blip r:embed="rId22">
                            <a:extLst>
                              <a:ext uri="{28A0092B-C50C-407E-A947-70E740481C1C}">
                                <a14:useLocalDpi xmlns:a14="http://schemas.microsoft.com/office/drawing/2010/main" val="0"/>
                              </a:ext>
                            </a:extLst>
                          </a:blip>
                          <a:stretch>
                            <a:fillRect/>
                          </a:stretch>
                        </pic:blipFill>
                        <pic:spPr>
                          <a:xfrm>
                            <a:off x="0" y="0"/>
                            <a:ext cx="4898253" cy="3847166"/>
                          </a:xfrm>
                          <a:prstGeom prst="rect">
                            <a:avLst/>
                          </a:prstGeom>
                        </pic:spPr>
                      </pic:pic>
                    </a:graphicData>
                  </a:graphic>
                </wp:inline>
              </w:drawing>
            </w:r>
          </w:p>
        </w:tc>
      </w:tr>
    </w:tbl>
    <w:p w14:paraId="62921D8D" w14:textId="7866857E" w:rsidR="006C1607" w:rsidRPr="00080145" w:rsidRDefault="006C1607">
      <w:pPr>
        <w:spacing w:before="0" w:after="0" w:line="240" w:lineRule="auto"/>
        <w:rPr>
          <w:color w:val="auto"/>
        </w:rPr>
      </w:pPr>
    </w:p>
    <w:p w14:paraId="101C24D1" w14:textId="77777777" w:rsidR="006C1607" w:rsidRPr="00080145" w:rsidRDefault="006C1607">
      <w:pPr>
        <w:spacing w:before="0" w:after="0" w:line="240" w:lineRule="auto"/>
        <w:rPr>
          <w:color w:val="auto"/>
        </w:rPr>
      </w:pPr>
    </w:p>
    <w:p w14:paraId="12C0A8DF" w14:textId="77777777" w:rsidR="006C1607" w:rsidRPr="00080145" w:rsidRDefault="006C1607" w:rsidP="001E4879">
      <w:pPr>
        <w:rPr>
          <w:color w:val="auto"/>
        </w:rPr>
        <w:sectPr w:rsidR="006C1607" w:rsidRPr="00080145" w:rsidSect="006C1607">
          <w:pgSz w:w="16820" w:h="11900" w:orient="landscape"/>
          <w:pgMar w:top="851" w:right="1418" w:bottom="851" w:left="1418" w:header="567" w:footer="482" w:gutter="0"/>
          <w:cols w:space="708"/>
          <w:docGrid w:linePitch="299"/>
        </w:sectPr>
      </w:pPr>
    </w:p>
    <w:p w14:paraId="55F83E86" w14:textId="661F014B" w:rsidR="00C43A44" w:rsidRPr="00080145" w:rsidRDefault="00817198" w:rsidP="007F1426">
      <w:pPr>
        <w:pStyle w:val="Heading1"/>
      </w:pPr>
      <w:bookmarkStart w:id="67" w:name="_Toc51582926"/>
      <w:bookmarkStart w:id="68" w:name="_Ref55554740"/>
      <w:bookmarkStart w:id="69" w:name="_Ref55554782"/>
      <w:bookmarkStart w:id="70" w:name="_Ref55555047"/>
      <w:bookmarkStart w:id="71" w:name="_Toc59206209"/>
      <w:r w:rsidRPr="00080145">
        <w:lastRenderedPageBreak/>
        <w:t>Appendix C</w:t>
      </w:r>
      <w:r w:rsidR="00C43A44" w:rsidRPr="00080145">
        <w:t xml:space="preserve"> – Applicable legislation</w:t>
      </w:r>
      <w:bookmarkEnd w:id="67"/>
      <w:bookmarkEnd w:id="68"/>
      <w:bookmarkEnd w:id="69"/>
      <w:bookmarkEnd w:id="70"/>
      <w:bookmarkEnd w:id="71"/>
    </w:p>
    <w:tbl>
      <w:tblPr>
        <w:tblStyle w:val="TableGrid"/>
        <w:tblW w:w="10485" w:type="dxa"/>
        <w:tblLook w:val="04A0" w:firstRow="1" w:lastRow="0" w:firstColumn="1" w:lastColumn="0" w:noHBand="0" w:noVBand="1"/>
      </w:tblPr>
      <w:tblGrid>
        <w:gridCol w:w="2830"/>
        <w:gridCol w:w="7655"/>
      </w:tblGrid>
      <w:tr w:rsidR="00C43A44" w:rsidRPr="00080145" w14:paraId="242C70D5" w14:textId="77777777" w:rsidTr="00200216">
        <w:trPr>
          <w:cantSplit/>
          <w:tblHeader/>
        </w:trPr>
        <w:tc>
          <w:tcPr>
            <w:tcW w:w="2830" w:type="dxa"/>
            <w:shd w:val="clear" w:color="auto" w:fill="008080"/>
          </w:tcPr>
          <w:p w14:paraId="33AF142F" w14:textId="77777777" w:rsidR="00C43A44" w:rsidRPr="00080145" w:rsidRDefault="00C43A44" w:rsidP="00817198">
            <w:pPr>
              <w:pStyle w:val="Body"/>
              <w:rPr>
                <w:b/>
                <w:color w:val="FFFFFF" w:themeColor="background1"/>
                <w:sz w:val="20"/>
                <w:szCs w:val="20"/>
                <w:lang w:val="en-GB"/>
              </w:rPr>
            </w:pPr>
            <w:r w:rsidRPr="00080145">
              <w:rPr>
                <w:b/>
                <w:color w:val="FFFFFF" w:themeColor="background1"/>
                <w:sz w:val="20"/>
                <w:szCs w:val="20"/>
                <w:lang w:val="en-GB"/>
              </w:rPr>
              <w:t>Legislation</w:t>
            </w:r>
          </w:p>
        </w:tc>
        <w:tc>
          <w:tcPr>
            <w:tcW w:w="7655" w:type="dxa"/>
            <w:shd w:val="clear" w:color="auto" w:fill="008080"/>
          </w:tcPr>
          <w:p w14:paraId="5EA612CF" w14:textId="77777777" w:rsidR="00C43A44" w:rsidRPr="00080145" w:rsidRDefault="00C43A44" w:rsidP="00817198">
            <w:pPr>
              <w:pStyle w:val="Body"/>
              <w:rPr>
                <w:b/>
                <w:color w:val="FFFFFF" w:themeColor="background1"/>
                <w:sz w:val="20"/>
                <w:szCs w:val="20"/>
                <w:lang w:val="en-GB"/>
              </w:rPr>
            </w:pPr>
            <w:r w:rsidRPr="00080145">
              <w:rPr>
                <w:b/>
                <w:color w:val="FFFFFF" w:themeColor="background1"/>
                <w:sz w:val="20"/>
                <w:szCs w:val="20"/>
                <w:lang w:val="en-GB"/>
              </w:rPr>
              <w:t>Main purpose of Legislation</w:t>
            </w:r>
          </w:p>
        </w:tc>
      </w:tr>
      <w:tr w:rsidR="00C43A44" w:rsidRPr="00080145" w14:paraId="1F59ADE3" w14:textId="77777777" w:rsidTr="00200216">
        <w:trPr>
          <w:cantSplit/>
        </w:trPr>
        <w:tc>
          <w:tcPr>
            <w:tcW w:w="2830" w:type="dxa"/>
          </w:tcPr>
          <w:p w14:paraId="57F168DB" w14:textId="25AC82A0" w:rsidR="00C43A44" w:rsidRPr="00080145" w:rsidRDefault="00C43A44" w:rsidP="00817198">
            <w:pPr>
              <w:pStyle w:val="Body"/>
              <w:rPr>
                <w:sz w:val="20"/>
                <w:szCs w:val="20"/>
                <w:lang w:val="en-GB"/>
              </w:rPr>
            </w:pPr>
            <w:r w:rsidRPr="00080145">
              <w:rPr>
                <w:sz w:val="20"/>
                <w:szCs w:val="20"/>
                <w:lang w:val="en-GB"/>
              </w:rPr>
              <w:t>The Mental Health Act 1983</w:t>
            </w:r>
            <w:r w:rsidRPr="00080145">
              <w:rPr>
                <w:rStyle w:val="FootnoteReference"/>
                <w:color w:val="auto"/>
                <w:sz w:val="20"/>
                <w:szCs w:val="20"/>
                <w:lang w:val="en-GB"/>
              </w:rPr>
              <w:footnoteReference w:id="1"/>
            </w:r>
            <w:r w:rsidRPr="00080145">
              <w:rPr>
                <w:sz w:val="20"/>
                <w:szCs w:val="20"/>
                <w:lang w:val="en-GB"/>
              </w:rPr>
              <w:t xml:space="preserve"> </w:t>
            </w:r>
            <w:r w:rsidR="00524924" w:rsidRPr="00080145">
              <w:rPr>
                <w:sz w:val="20"/>
                <w:szCs w:val="20"/>
                <w:lang w:val="en-GB"/>
              </w:rPr>
              <w:t>and the Mental Health Act Code of Practice</w:t>
            </w:r>
            <w:r w:rsidR="00D32091" w:rsidRPr="00080145">
              <w:rPr>
                <w:rStyle w:val="FootnoteReference"/>
                <w:sz w:val="20"/>
                <w:szCs w:val="20"/>
                <w:lang w:val="en-GB"/>
              </w:rPr>
              <w:footnoteReference w:id="2"/>
            </w:r>
          </w:p>
        </w:tc>
        <w:tc>
          <w:tcPr>
            <w:tcW w:w="7655" w:type="dxa"/>
          </w:tcPr>
          <w:p w14:paraId="05E0C1B9" w14:textId="2454FA9B" w:rsidR="00C43A44" w:rsidRPr="00080145" w:rsidRDefault="00524924" w:rsidP="00817198">
            <w:pPr>
              <w:pStyle w:val="Body"/>
              <w:rPr>
                <w:sz w:val="20"/>
                <w:szCs w:val="20"/>
                <w:lang w:val="en-GB"/>
              </w:rPr>
            </w:pPr>
            <w:r w:rsidRPr="00080145">
              <w:rPr>
                <w:sz w:val="20"/>
                <w:szCs w:val="20"/>
                <w:lang w:val="en-GB"/>
              </w:rPr>
              <w:t>The Code of Practice p</w:t>
            </w:r>
            <w:r w:rsidR="00C43A44" w:rsidRPr="00080145">
              <w:rPr>
                <w:sz w:val="20"/>
                <w:szCs w:val="20"/>
                <w:lang w:val="en-GB"/>
              </w:rPr>
              <w:t>rovides statutory guidance to registered medical practitioners, approved clinicians, managers and staff of providers, and approved mental health professionals on how they should carry out functions under the Mental Health Act in practice.</w:t>
            </w:r>
            <w:r w:rsidR="00C63F19" w:rsidRPr="00080145">
              <w:rPr>
                <w:sz w:val="20"/>
                <w:szCs w:val="20"/>
                <w:lang w:val="en-GB"/>
              </w:rPr>
              <w:t xml:space="preserve"> The act was substantially revised </w:t>
            </w:r>
            <w:r w:rsidRPr="00080145">
              <w:rPr>
                <w:sz w:val="20"/>
                <w:szCs w:val="20"/>
                <w:lang w:val="en-GB"/>
              </w:rPr>
              <w:t>by the 2007 act</w:t>
            </w:r>
            <w:r w:rsidR="00B25F6B" w:rsidRPr="00080145">
              <w:rPr>
                <w:sz w:val="20"/>
                <w:szCs w:val="20"/>
                <w:lang w:val="en-GB"/>
              </w:rPr>
              <w:t xml:space="preserve"> but remains the key legislation.</w:t>
            </w:r>
          </w:p>
          <w:p w14:paraId="63506C5A" w14:textId="55CFDE10" w:rsidR="00E64D9B" w:rsidRPr="00080145" w:rsidRDefault="00E64D9B" w:rsidP="00817198">
            <w:pPr>
              <w:pStyle w:val="Body"/>
              <w:rPr>
                <w:sz w:val="20"/>
                <w:szCs w:val="20"/>
                <w:lang w:val="en-GB"/>
              </w:rPr>
            </w:pPr>
            <w:r w:rsidRPr="00080145">
              <w:rPr>
                <w:sz w:val="20"/>
                <w:szCs w:val="20"/>
                <w:lang w:val="en-GB"/>
              </w:rPr>
              <w:t>This regulation provides specific powers for dealing with mental heath issues giving a legal basis under Section 8 of the DPA for this use.</w:t>
            </w:r>
            <w:r w:rsidR="002D7EC7" w:rsidRPr="00080145">
              <w:rPr>
                <w:sz w:val="20"/>
                <w:szCs w:val="20"/>
                <w:lang w:val="en-GB"/>
              </w:rPr>
              <w:t xml:space="preserve"> It specifically excludes learning disability, alcohol or drug dependence</w:t>
            </w:r>
            <w:r w:rsidR="003942AE" w:rsidRPr="00080145">
              <w:rPr>
                <w:sz w:val="20"/>
                <w:szCs w:val="20"/>
                <w:lang w:val="en-GB"/>
              </w:rPr>
              <w:t>.</w:t>
            </w:r>
          </w:p>
        </w:tc>
      </w:tr>
      <w:tr w:rsidR="00C43A44" w:rsidRPr="00080145" w14:paraId="54217A49" w14:textId="77777777" w:rsidTr="00200216">
        <w:trPr>
          <w:cantSplit/>
        </w:trPr>
        <w:tc>
          <w:tcPr>
            <w:tcW w:w="2830" w:type="dxa"/>
          </w:tcPr>
          <w:p w14:paraId="4E70943D" w14:textId="17206188" w:rsidR="00C43A44" w:rsidRPr="00080145" w:rsidRDefault="00C43A44" w:rsidP="00817198">
            <w:pPr>
              <w:pStyle w:val="Body"/>
              <w:rPr>
                <w:sz w:val="20"/>
                <w:szCs w:val="20"/>
                <w:lang w:val="en-GB"/>
              </w:rPr>
            </w:pPr>
            <w:r w:rsidRPr="00080145">
              <w:rPr>
                <w:sz w:val="20"/>
                <w:szCs w:val="20"/>
                <w:lang w:val="en-GB"/>
              </w:rPr>
              <w:t>The Access to Health Records Act 1990</w:t>
            </w:r>
            <w:r w:rsidRPr="00080145">
              <w:rPr>
                <w:rStyle w:val="FootnoteReference"/>
                <w:color w:val="auto"/>
                <w:sz w:val="20"/>
                <w:szCs w:val="20"/>
                <w:lang w:val="en-GB"/>
              </w:rPr>
              <w:footnoteReference w:id="3"/>
            </w:r>
          </w:p>
        </w:tc>
        <w:tc>
          <w:tcPr>
            <w:tcW w:w="7655" w:type="dxa"/>
          </w:tcPr>
          <w:p w14:paraId="4FF3B988" w14:textId="77777777" w:rsidR="00C43A44" w:rsidRPr="00080145" w:rsidRDefault="00C43A44" w:rsidP="00817198">
            <w:pPr>
              <w:pStyle w:val="Body"/>
              <w:rPr>
                <w:rFonts w:eastAsia="Times New Roman"/>
                <w:sz w:val="20"/>
                <w:szCs w:val="20"/>
                <w:lang w:val="en-GB" w:eastAsia="en-GB"/>
              </w:rPr>
            </w:pPr>
            <w:r w:rsidRPr="00080145">
              <w:rPr>
                <w:rFonts w:eastAsia="Times New Roman"/>
                <w:sz w:val="20"/>
                <w:szCs w:val="20"/>
                <w:lang w:val="en-GB" w:eastAsia="en-GB"/>
              </w:rPr>
              <w:t>The Access to Health Records Act 1990 has been largely repealed, although one section allows access to the records of a patient who is deceased (Section 3 – Right of access to health records (1) (f) where the patient has died, the patient's personal representative and any person who may have a claim arising out of the patient's death).</w:t>
            </w:r>
          </w:p>
        </w:tc>
      </w:tr>
      <w:tr w:rsidR="00C43A44" w:rsidRPr="00080145" w14:paraId="4C64A000" w14:textId="77777777" w:rsidTr="00200216">
        <w:trPr>
          <w:cantSplit/>
        </w:trPr>
        <w:tc>
          <w:tcPr>
            <w:tcW w:w="2830" w:type="dxa"/>
          </w:tcPr>
          <w:p w14:paraId="235D213B" w14:textId="77777777" w:rsidR="00C43A44" w:rsidRPr="00080145" w:rsidRDefault="00C43A44" w:rsidP="00817198">
            <w:pPr>
              <w:pStyle w:val="Body"/>
              <w:rPr>
                <w:sz w:val="20"/>
                <w:szCs w:val="20"/>
                <w:lang w:val="en-GB"/>
              </w:rPr>
            </w:pPr>
            <w:r w:rsidRPr="00080145">
              <w:rPr>
                <w:sz w:val="20"/>
                <w:szCs w:val="20"/>
                <w:lang w:val="en-GB"/>
              </w:rPr>
              <w:t>The Local Government Act 2000</w:t>
            </w:r>
            <w:r w:rsidRPr="00080145">
              <w:rPr>
                <w:rStyle w:val="FootnoteReference"/>
                <w:color w:val="auto"/>
                <w:sz w:val="20"/>
                <w:szCs w:val="20"/>
                <w:lang w:val="en-GB"/>
              </w:rPr>
              <w:footnoteReference w:id="4"/>
            </w:r>
          </w:p>
        </w:tc>
        <w:tc>
          <w:tcPr>
            <w:tcW w:w="7655" w:type="dxa"/>
          </w:tcPr>
          <w:p w14:paraId="46D09EB0" w14:textId="09F500B5" w:rsidR="00200216" w:rsidRPr="00080145" w:rsidRDefault="00C43A44" w:rsidP="00817198">
            <w:pPr>
              <w:pStyle w:val="Body"/>
              <w:rPr>
                <w:sz w:val="20"/>
                <w:szCs w:val="20"/>
                <w:lang w:val="en-GB"/>
              </w:rPr>
            </w:pPr>
            <w:r w:rsidRPr="00080145">
              <w:rPr>
                <w:rFonts w:eastAsia="Times New Roman"/>
                <w:sz w:val="20"/>
                <w:szCs w:val="20"/>
                <w:lang w:val="en-GB" w:eastAsia="en-GB"/>
              </w:rPr>
              <w:t xml:space="preserve">The main principles of the Local Government Act 2000 are </w:t>
            </w:r>
            <w:r w:rsidRPr="00080145">
              <w:rPr>
                <w:sz w:val="20"/>
                <w:szCs w:val="20"/>
                <w:lang w:val="en-GB"/>
              </w:rPr>
              <w:t>to give powers to local authorities to promote economic, social and environmental well-being within their boundaries</w:t>
            </w:r>
            <w:r w:rsidR="0008739F" w:rsidRPr="00080145">
              <w:rPr>
                <w:sz w:val="20"/>
                <w:szCs w:val="20"/>
                <w:lang w:val="en-GB"/>
              </w:rPr>
              <w:t xml:space="preserve">. This was mostly </w:t>
            </w:r>
            <w:r w:rsidR="00950E91" w:rsidRPr="00080145">
              <w:rPr>
                <w:sz w:val="20"/>
                <w:szCs w:val="20"/>
                <w:lang w:val="en-GB"/>
              </w:rPr>
              <w:t>replaced by the Localism Act 2011 below, but still applies in Wales.</w:t>
            </w:r>
          </w:p>
        </w:tc>
      </w:tr>
      <w:tr w:rsidR="009624A1" w:rsidRPr="00080145" w14:paraId="1B874BDB" w14:textId="77777777" w:rsidTr="00200216">
        <w:trPr>
          <w:cantSplit/>
        </w:trPr>
        <w:tc>
          <w:tcPr>
            <w:tcW w:w="2830" w:type="dxa"/>
          </w:tcPr>
          <w:p w14:paraId="5398309A" w14:textId="4392E80D" w:rsidR="009624A1" w:rsidRPr="00080145" w:rsidRDefault="009624A1" w:rsidP="00817198">
            <w:pPr>
              <w:pStyle w:val="Body"/>
              <w:rPr>
                <w:sz w:val="20"/>
                <w:szCs w:val="20"/>
                <w:lang w:val="en-GB"/>
              </w:rPr>
            </w:pPr>
            <w:r w:rsidRPr="00080145">
              <w:rPr>
                <w:sz w:val="20"/>
                <w:szCs w:val="20"/>
                <w:lang w:val="en-GB"/>
              </w:rPr>
              <w:t xml:space="preserve">The Localism Act </w:t>
            </w:r>
            <w:r w:rsidR="000E6B1A" w:rsidRPr="00080145">
              <w:rPr>
                <w:sz w:val="20"/>
                <w:szCs w:val="20"/>
                <w:lang w:val="en-GB"/>
              </w:rPr>
              <w:t>2011</w:t>
            </w:r>
            <w:r w:rsidR="00C26191" w:rsidRPr="00080145">
              <w:rPr>
                <w:rStyle w:val="FootnoteReference"/>
                <w:sz w:val="20"/>
                <w:szCs w:val="20"/>
                <w:lang w:val="en-GB"/>
              </w:rPr>
              <w:footnoteReference w:id="5"/>
            </w:r>
          </w:p>
        </w:tc>
        <w:tc>
          <w:tcPr>
            <w:tcW w:w="7655" w:type="dxa"/>
          </w:tcPr>
          <w:p w14:paraId="601857CF" w14:textId="77777777" w:rsidR="009624A1" w:rsidRPr="00080145" w:rsidRDefault="00D5307A" w:rsidP="00817198">
            <w:pPr>
              <w:pStyle w:val="Body"/>
              <w:rPr>
                <w:rFonts w:eastAsia="Times New Roman"/>
                <w:sz w:val="20"/>
                <w:szCs w:val="20"/>
                <w:lang w:val="en-GB" w:eastAsia="en-GB"/>
              </w:rPr>
            </w:pPr>
            <w:r w:rsidRPr="00080145">
              <w:rPr>
                <w:rFonts w:eastAsia="Times New Roman"/>
                <w:sz w:val="20"/>
                <w:szCs w:val="20"/>
                <w:lang w:val="en-GB" w:eastAsia="en-GB"/>
              </w:rPr>
              <w:t>The L</w:t>
            </w:r>
            <w:r w:rsidR="004C536B" w:rsidRPr="00080145">
              <w:rPr>
                <w:rFonts w:eastAsia="Times New Roman"/>
                <w:sz w:val="20"/>
                <w:szCs w:val="20"/>
                <w:lang w:val="en-GB" w:eastAsia="en-GB"/>
              </w:rPr>
              <w:t>o</w:t>
            </w:r>
            <w:r w:rsidRPr="00080145">
              <w:rPr>
                <w:rFonts w:eastAsia="Times New Roman"/>
                <w:sz w:val="20"/>
                <w:szCs w:val="20"/>
                <w:lang w:val="en-GB" w:eastAsia="en-GB"/>
              </w:rPr>
              <w:t>calism</w:t>
            </w:r>
            <w:r w:rsidR="004C536B" w:rsidRPr="00080145">
              <w:rPr>
                <w:rFonts w:eastAsia="Times New Roman"/>
                <w:sz w:val="20"/>
                <w:szCs w:val="20"/>
                <w:lang w:val="en-GB" w:eastAsia="en-GB"/>
              </w:rPr>
              <w:t xml:space="preserve"> Act created general powers for Local Government to act as an individual for </w:t>
            </w:r>
            <w:r w:rsidR="006C358F" w:rsidRPr="00080145">
              <w:rPr>
                <w:rFonts w:eastAsia="Times New Roman"/>
                <w:sz w:val="20"/>
                <w:szCs w:val="20"/>
                <w:lang w:val="en-GB" w:eastAsia="en-GB"/>
              </w:rPr>
              <w:t>any purpose, with specific goals to promote economic, social and environmental well-being within their boundaries.</w:t>
            </w:r>
          </w:p>
          <w:p w14:paraId="108D65CE" w14:textId="5ED1F044" w:rsidR="004625CB" w:rsidRPr="00080145" w:rsidRDefault="004625CB" w:rsidP="00817198">
            <w:pPr>
              <w:pStyle w:val="Body"/>
              <w:rPr>
                <w:rFonts w:eastAsia="Times New Roman"/>
                <w:sz w:val="20"/>
                <w:szCs w:val="20"/>
                <w:lang w:val="en-GB" w:eastAsia="en-GB"/>
              </w:rPr>
            </w:pPr>
            <w:r w:rsidRPr="00080145">
              <w:rPr>
                <w:rFonts w:eastAsia="Times New Roman"/>
                <w:sz w:val="20"/>
                <w:szCs w:val="20"/>
                <w:lang w:val="en-GB" w:eastAsia="en-GB"/>
              </w:rPr>
              <w:t xml:space="preserve">This regulation provides the general power for </w:t>
            </w:r>
            <w:r w:rsidR="00751B08" w:rsidRPr="00080145">
              <w:rPr>
                <w:rFonts w:eastAsia="Times New Roman"/>
                <w:sz w:val="20"/>
                <w:szCs w:val="20"/>
                <w:lang w:val="en-GB" w:eastAsia="en-GB"/>
              </w:rPr>
              <w:t xml:space="preserve">local authorities to act in any manner they believe suitable for the purposes </w:t>
            </w:r>
            <w:r w:rsidR="00751B08" w:rsidRPr="00080145">
              <w:rPr>
                <w:sz w:val="20"/>
                <w:szCs w:val="20"/>
                <w:lang w:val="en-GB"/>
              </w:rPr>
              <w:t>giving a legal basis under Section 8 of the DPA for this use. However, as a general power it can be challenged, and an additional legal basis is preferred.</w:t>
            </w:r>
          </w:p>
        </w:tc>
      </w:tr>
      <w:tr w:rsidR="00C43A44" w:rsidRPr="00080145" w14:paraId="7FE1C317" w14:textId="77777777" w:rsidTr="00200216">
        <w:trPr>
          <w:cantSplit/>
        </w:trPr>
        <w:tc>
          <w:tcPr>
            <w:tcW w:w="2830" w:type="dxa"/>
          </w:tcPr>
          <w:p w14:paraId="4B5B0694" w14:textId="77777777" w:rsidR="00C43A44" w:rsidRPr="00080145" w:rsidRDefault="00C43A44" w:rsidP="00817198">
            <w:pPr>
              <w:pStyle w:val="Body"/>
              <w:rPr>
                <w:sz w:val="20"/>
                <w:szCs w:val="20"/>
                <w:lang w:val="en-GB"/>
              </w:rPr>
            </w:pPr>
            <w:r w:rsidRPr="00080145">
              <w:rPr>
                <w:sz w:val="20"/>
                <w:szCs w:val="20"/>
                <w:lang w:val="en-GB"/>
              </w:rPr>
              <w:t>The Education Act 2002</w:t>
            </w:r>
            <w:r w:rsidRPr="00080145">
              <w:rPr>
                <w:rStyle w:val="FootnoteReference"/>
                <w:color w:val="auto"/>
                <w:sz w:val="20"/>
                <w:szCs w:val="20"/>
                <w:lang w:val="en-GB"/>
              </w:rPr>
              <w:footnoteReference w:id="6"/>
            </w:r>
          </w:p>
        </w:tc>
        <w:tc>
          <w:tcPr>
            <w:tcW w:w="7655" w:type="dxa"/>
          </w:tcPr>
          <w:p w14:paraId="1B3431AE" w14:textId="77777777" w:rsidR="00C43A44" w:rsidRPr="00080145" w:rsidRDefault="00C43A44" w:rsidP="00817198">
            <w:pPr>
              <w:pStyle w:val="Body"/>
              <w:rPr>
                <w:rFonts w:eastAsia="Times New Roman"/>
                <w:sz w:val="20"/>
                <w:szCs w:val="20"/>
                <w:lang w:val="en-GB" w:eastAsia="en-GB"/>
              </w:rPr>
            </w:pPr>
            <w:r w:rsidRPr="00080145">
              <w:rPr>
                <w:rFonts w:eastAsia="Times New Roman"/>
                <w:sz w:val="20"/>
                <w:szCs w:val="20"/>
                <w:lang w:val="en-GB" w:eastAsia="en-GB"/>
              </w:rPr>
              <w:t>The Education Act 2002 puts a duty on schools to exercise their functions with a view to safeguarding and promoting the welfare of children.</w:t>
            </w:r>
            <w:r w:rsidRPr="00080145">
              <w:rPr>
                <w:sz w:val="20"/>
                <w:szCs w:val="20"/>
                <w:lang w:val="en-GB"/>
              </w:rPr>
              <w:t xml:space="preserve"> </w:t>
            </w:r>
            <w:r w:rsidRPr="00080145">
              <w:rPr>
                <w:rFonts w:eastAsia="Times New Roman"/>
                <w:sz w:val="20"/>
                <w:szCs w:val="20"/>
                <w:lang w:val="en-GB" w:eastAsia="en-GB"/>
              </w:rPr>
              <w:t>All schools are required by law to teach a broad and balanced curriculum which promotes the spiritual, moral and cultural development of pupils and prepares them for the opportunities, responsibilities and experiences of life.</w:t>
            </w:r>
          </w:p>
          <w:p w14:paraId="2C1F003E" w14:textId="77777777" w:rsidR="0033218B" w:rsidRPr="00080145" w:rsidRDefault="0033218B" w:rsidP="00817198">
            <w:pPr>
              <w:pStyle w:val="Body"/>
              <w:rPr>
                <w:rFonts w:eastAsia="Times New Roman"/>
                <w:sz w:val="20"/>
                <w:szCs w:val="20"/>
                <w:lang w:val="en-GB" w:eastAsia="en-GB"/>
              </w:rPr>
            </w:pPr>
          </w:p>
          <w:p w14:paraId="7E1828CA" w14:textId="71E9F69E" w:rsidR="0033218B" w:rsidRPr="00080145" w:rsidRDefault="0033218B" w:rsidP="00817198">
            <w:pPr>
              <w:pStyle w:val="Body"/>
              <w:rPr>
                <w:rFonts w:eastAsia="Times New Roman"/>
                <w:sz w:val="20"/>
                <w:szCs w:val="20"/>
                <w:lang w:val="en-GB" w:eastAsia="en-GB"/>
              </w:rPr>
            </w:pPr>
            <w:r w:rsidRPr="00080145">
              <w:rPr>
                <w:sz w:val="20"/>
                <w:szCs w:val="20"/>
                <w:lang w:val="en-GB"/>
              </w:rPr>
              <w:t>This regulation provides specific powers for dealing with school-related safe</w:t>
            </w:r>
            <w:r w:rsidR="00142D4A" w:rsidRPr="00080145">
              <w:rPr>
                <w:sz w:val="20"/>
                <w:szCs w:val="20"/>
                <w:lang w:val="en-GB"/>
              </w:rPr>
              <w:t>guarding and welfare</w:t>
            </w:r>
            <w:r w:rsidRPr="00080145">
              <w:rPr>
                <w:sz w:val="20"/>
                <w:szCs w:val="20"/>
                <w:lang w:val="en-GB"/>
              </w:rPr>
              <w:t xml:space="preserve"> issues giving a legal basis under Section 8 of the DPA for this use.</w:t>
            </w:r>
          </w:p>
        </w:tc>
      </w:tr>
      <w:tr w:rsidR="006C7958" w:rsidRPr="00080145" w14:paraId="266E8283" w14:textId="77777777" w:rsidTr="00200216">
        <w:trPr>
          <w:cantSplit/>
        </w:trPr>
        <w:tc>
          <w:tcPr>
            <w:tcW w:w="2830" w:type="dxa"/>
          </w:tcPr>
          <w:p w14:paraId="799B51BC" w14:textId="33E58B21" w:rsidR="006C7958" w:rsidRPr="00080145" w:rsidRDefault="006C7958" w:rsidP="00817198">
            <w:pPr>
              <w:pStyle w:val="Body"/>
              <w:rPr>
                <w:sz w:val="20"/>
                <w:szCs w:val="20"/>
                <w:lang w:val="en-GB"/>
              </w:rPr>
            </w:pPr>
            <w:r w:rsidRPr="00080145">
              <w:rPr>
                <w:sz w:val="20"/>
                <w:szCs w:val="20"/>
                <w:lang w:val="en-GB"/>
              </w:rPr>
              <w:lastRenderedPageBreak/>
              <w:t>The Children Act 1989</w:t>
            </w:r>
          </w:p>
        </w:tc>
        <w:tc>
          <w:tcPr>
            <w:tcW w:w="7655" w:type="dxa"/>
          </w:tcPr>
          <w:p w14:paraId="47D20BF1" w14:textId="77777777" w:rsidR="006C7958" w:rsidRPr="00080145" w:rsidRDefault="006C7958" w:rsidP="00817198">
            <w:pPr>
              <w:pStyle w:val="Body"/>
              <w:rPr>
                <w:sz w:val="20"/>
                <w:szCs w:val="20"/>
                <w:lang w:val="en-GB"/>
              </w:rPr>
            </w:pPr>
            <w:r w:rsidRPr="00080145">
              <w:rPr>
                <w:sz w:val="20"/>
                <w:szCs w:val="20"/>
                <w:lang w:val="en-GB"/>
              </w:rPr>
              <w:t xml:space="preserve">Under S.47 of the </w:t>
            </w:r>
            <w:r w:rsidRPr="00080145">
              <w:rPr>
                <w:i/>
                <w:sz w:val="20"/>
                <w:szCs w:val="20"/>
                <w:lang w:val="en-GB"/>
              </w:rPr>
              <w:t>Children’s Act 1989</w:t>
            </w:r>
            <w:r w:rsidRPr="00080145">
              <w:rPr>
                <w:sz w:val="20"/>
                <w:szCs w:val="20"/>
                <w:lang w:val="en-GB"/>
              </w:rPr>
              <w:t>, a Local Authority has a duty to investigate when informed that a child in their area is in police protection or the subject of a protection order.</w:t>
            </w:r>
          </w:p>
          <w:p w14:paraId="569B7F46" w14:textId="42F82586" w:rsidR="006C7958" w:rsidRPr="00080145" w:rsidRDefault="001B5EDA" w:rsidP="00817198">
            <w:pPr>
              <w:pStyle w:val="Body"/>
              <w:rPr>
                <w:rFonts w:eastAsia="Times New Roman"/>
                <w:sz w:val="20"/>
                <w:szCs w:val="20"/>
                <w:lang w:val="en-GB" w:eastAsia="en-GB"/>
              </w:rPr>
            </w:pPr>
            <w:r w:rsidRPr="00080145">
              <w:rPr>
                <w:sz w:val="20"/>
                <w:szCs w:val="20"/>
                <w:lang w:val="en-GB"/>
              </w:rPr>
              <w:t>This regulation provides specific powers giving a legal basis under Section 8 of the DPA for this use</w:t>
            </w:r>
            <w:r w:rsidR="00D01240" w:rsidRPr="00080145">
              <w:rPr>
                <w:sz w:val="20"/>
                <w:szCs w:val="20"/>
                <w:lang w:val="en-GB"/>
              </w:rPr>
              <w:t>.</w:t>
            </w:r>
          </w:p>
        </w:tc>
      </w:tr>
      <w:tr w:rsidR="006C7958" w:rsidRPr="00080145" w14:paraId="405F41B5" w14:textId="77777777" w:rsidTr="00200216">
        <w:trPr>
          <w:cantSplit/>
        </w:trPr>
        <w:tc>
          <w:tcPr>
            <w:tcW w:w="2830" w:type="dxa"/>
          </w:tcPr>
          <w:p w14:paraId="0590C857" w14:textId="7C74A979" w:rsidR="006C7958" w:rsidRPr="00080145" w:rsidRDefault="006C7958" w:rsidP="00817198">
            <w:pPr>
              <w:pStyle w:val="Body"/>
              <w:rPr>
                <w:sz w:val="20"/>
                <w:szCs w:val="20"/>
                <w:lang w:val="en-GB"/>
              </w:rPr>
            </w:pPr>
            <w:r w:rsidRPr="00080145">
              <w:rPr>
                <w:sz w:val="20"/>
                <w:szCs w:val="20"/>
                <w:lang w:val="en-GB"/>
              </w:rPr>
              <w:t>The Children Act 2004</w:t>
            </w:r>
          </w:p>
        </w:tc>
        <w:tc>
          <w:tcPr>
            <w:tcW w:w="7655" w:type="dxa"/>
          </w:tcPr>
          <w:p w14:paraId="3E23B0E2" w14:textId="77777777" w:rsidR="006C7958" w:rsidRPr="00080145" w:rsidRDefault="006C7958" w:rsidP="00817198">
            <w:pPr>
              <w:pStyle w:val="Body"/>
              <w:rPr>
                <w:sz w:val="20"/>
                <w:szCs w:val="20"/>
                <w:lang w:val="en-GB"/>
              </w:rPr>
            </w:pPr>
            <w:r w:rsidRPr="00080145">
              <w:rPr>
                <w:sz w:val="20"/>
                <w:szCs w:val="20"/>
                <w:lang w:val="en-GB"/>
              </w:rPr>
              <w:t xml:space="preserve">Under Sections 10 and 11 of the </w:t>
            </w:r>
            <w:r w:rsidRPr="00080145">
              <w:rPr>
                <w:i/>
                <w:sz w:val="20"/>
                <w:szCs w:val="20"/>
                <w:lang w:val="en-GB"/>
              </w:rPr>
              <w:t>Children Act 2004</w:t>
            </w:r>
            <w:r w:rsidRPr="00080145">
              <w:rPr>
                <w:sz w:val="20"/>
                <w:szCs w:val="20"/>
                <w:lang w:val="en-GB"/>
              </w:rPr>
              <w:t>, the police, local authorities and primary care trusts must co-operate with other relevant</w:t>
            </w:r>
            <w:r w:rsidRPr="00080145">
              <w:rPr>
                <w:i/>
                <w:iCs/>
                <w:color w:val="0000FF"/>
                <w:sz w:val="20"/>
                <w:szCs w:val="20"/>
                <w:lang w:val="en-GB"/>
              </w:rPr>
              <w:t xml:space="preserve"> </w:t>
            </w:r>
            <w:r w:rsidRPr="00080145">
              <w:rPr>
                <w:sz w:val="20"/>
                <w:szCs w:val="20"/>
                <w:lang w:val="en-GB"/>
              </w:rPr>
              <w:t>partners to safeguard and promote the welfare of children and ensure that arrangements are made to improve the wellbe</w:t>
            </w:r>
            <w:r w:rsidR="00817198" w:rsidRPr="00080145">
              <w:rPr>
                <w:sz w:val="20"/>
                <w:szCs w:val="20"/>
                <w:lang w:val="en-GB"/>
              </w:rPr>
              <w:t xml:space="preserve">ing of children in their area. </w:t>
            </w:r>
          </w:p>
          <w:p w14:paraId="1E6268E8" w14:textId="225B897D" w:rsidR="00D01240" w:rsidRPr="00080145" w:rsidRDefault="00D01240" w:rsidP="00817198">
            <w:pPr>
              <w:pStyle w:val="Body"/>
              <w:rPr>
                <w:sz w:val="20"/>
                <w:szCs w:val="20"/>
                <w:lang w:val="en-GB"/>
              </w:rPr>
            </w:pPr>
            <w:r w:rsidRPr="00080145">
              <w:rPr>
                <w:sz w:val="20"/>
                <w:szCs w:val="20"/>
                <w:lang w:val="en-GB"/>
              </w:rPr>
              <w:t>This regulation provides a general safeguarding and welfare power giving a legal basis under Section 8 of the DPA for this use</w:t>
            </w:r>
          </w:p>
        </w:tc>
      </w:tr>
      <w:tr w:rsidR="00C43A44" w:rsidRPr="00080145" w14:paraId="5962DCE7" w14:textId="77777777" w:rsidTr="00200216">
        <w:trPr>
          <w:cantSplit/>
        </w:trPr>
        <w:tc>
          <w:tcPr>
            <w:tcW w:w="2830" w:type="dxa"/>
          </w:tcPr>
          <w:p w14:paraId="13065759" w14:textId="77777777" w:rsidR="00C43A44" w:rsidRPr="00080145" w:rsidRDefault="00C43A44" w:rsidP="00F10EA3">
            <w:pPr>
              <w:pStyle w:val="Body"/>
              <w:rPr>
                <w:color w:val="auto"/>
                <w:sz w:val="20"/>
                <w:szCs w:val="20"/>
                <w:highlight w:val="yellow"/>
                <w:lang w:val="en-GB"/>
              </w:rPr>
            </w:pPr>
            <w:r w:rsidRPr="00080145">
              <w:rPr>
                <w:color w:val="auto"/>
                <w:sz w:val="20"/>
                <w:szCs w:val="20"/>
                <w:lang w:val="en-GB"/>
              </w:rPr>
              <w:t>The Criminal Justice Act 2003</w:t>
            </w:r>
            <w:r w:rsidRPr="00080145">
              <w:rPr>
                <w:rStyle w:val="FootnoteReference"/>
                <w:color w:val="auto"/>
                <w:sz w:val="20"/>
                <w:szCs w:val="20"/>
                <w:lang w:val="en-GB"/>
              </w:rPr>
              <w:footnoteReference w:id="7"/>
            </w:r>
          </w:p>
        </w:tc>
        <w:tc>
          <w:tcPr>
            <w:tcW w:w="7655" w:type="dxa"/>
          </w:tcPr>
          <w:p w14:paraId="33C46A29" w14:textId="77777777" w:rsidR="00C43A44" w:rsidRPr="00080145" w:rsidRDefault="00F07A8A" w:rsidP="00F10EA3">
            <w:pPr>
              <w:rPr>
                <w:rFonts w:eastAsia="Times New Roman"/>
                <w:color w:val="auto"/>
                <w:sz w:val="20"/>
                <w:szCs w:val="20"/>
                <w:lang w:eastAsia="en-GB"/>
              </w:rPr>
            </w:pPr>
            <w:r w:rsidRPr="00080145">
              <w:rPr>
                <w:rFonts w:eastAsia="Times New Roman"/>
                <w:color w:val="auto"/>
                <w:sz w:val="20"/>
                <w:szCs w:val="20"/>
                <w:lang w:eastAsia="en-GB"/>
              </w:rPr>
              <w:t xml:space="preserve">This act amended a wide range of provisions in the PACE act and provided </w:t>
            </w:r>
            <w:r w:rsidR="00EE1D37" w:rsidRPr="00080145">
              <w:rPr>
                <w:rFonts w:eastAsia="Times New Roman"/>
                <w:color w:val="auto"/>
                <w:sz w:val="20"/>
                <w:szCs w:val="20"/>
                <w:lang w:eastAsia="en-GB"/>
              </w:rPr>
              <w:t>new regulations on offence management, disclosure and trials.</w:t>
            </w:r>
            <w:r w:rsidR="00681AF5" w:rsidRPr="00080145">
              <w:rPr>
                <w:rFonts w:eastAsia="Times New Roman"/>
                <w:color w:val="auto"/>
                <w:sz w:val="20"/>
                <w:szCs w:val="20"/>
                <w:lang w:eastAsia="en-GB"/>
              </w:rPr>
              <w:t xml:space="preserve"> </w:t>
            </w:r>
          </w:p>
          <w:p w14:paraId="7551ACE6" w14:textId="4F68D6FC" w:rsidR="00681AF5" w:rsidRPr="00080145" w:rsidRDefault="00681AF5" w:rsidP="00F10EA3">
            <w:pPr>
              <w:rPr>
                <w:rFonts w:eastAsia="Times New Roman"/>
                <w:color w:val="auto"/>
                <w:sz w:val="20"/>
                <w:szCs w:val="20"/>
                <w:lang w:eastAsia="en-GB"/>
              </w:rPr>
            </w:pPr>
            <w:r w:rsidRPr="00080145">
              <w:rPr>
                <w:rFonts w:eastAsia="Times New Roman"/>
                <w:color w:val="auto"/>
                <w:sz w:val="20"/>
                <w:szCs w:val="20"/>
                <w:lang w:eastAsia="en-GB"/>
              </w:rPr>
              <w:t xml:space="preserve">The regulation clarifies process and procedure for police </w:t>
            </w:r>
            <w:r w:rsidR="008C5AA1" w:rsidRPr="00080145">
              <w:rPr>
                <w:rFonts w:eastAsia="Times New Roman"/>
                <w:color w:val="auto"/>
                <w:sz w:val="20"/>
                <w:szCs w:val="20"/>
                <w:lang w:eastAsia="en-GB"/>
              </w:rPr>
              <w:t>and their legal basis for use.</w:t>
            </w:r>
          </w:p>
        </w:tc>
      </w:tr>
      <w:tr w:rsidR="008C5AA1" w:rsidRPr="00080145" w14:paraId="132B5AD0" w14:textId="77777777" w:rsidTr="00200216">
        <w:trPr>
          <w:cantSplit/>
        </w:trPr>
        <w:tc>
          <w:tcPr>
            <w:tcW w:w="2830" w:type="dxa"/>
          </w:tcPr>
          <w:p w14:paraId="5033A239" w14:textId="7D553CCA" w:rsidR="008C5AA1" w:rsidRPr="00080145" w:rsidRDefault="008C5AA1" w:rsidP="00F10EA3">
            <w:pPr>
              <w:pStyle w:val="Body"/>
              <w:rPr>
                <w:color w:val="auto"/>
                <w:sz w:val="20"/>
                <w:szCs w:val="20"/>
                <w:lang w:val="en-GB"/>
              </w:rPr>
            </w:pPr>
            <w:r w:rsidRPr="00080145">
              <w:rPr>
                <w:color w:val="auto"/>
                <w:sz w:val="20"/>
                <w:szCs w:val="20"/>
                <w:lang w:val="en-GB"/>
              </w:rPr>
              <w:t xml:space="preserve">The Police and Criminal Evidence Act </w:t>
            </w:r>
            <w:r w:rsidR="00237E37" w:rsidRPr="00080145">
              <w:rPr>
                <w:color w:val="auto"/>
                <w:sz w:val="20"/>
                <w:szCs w:val="20"/>
                <w:lang w:val="en-GB"/>
              </w:rPr>
              <w:t>1984</w:t>
            </w:r>
          </w:p>
        </w:tc>
        <w:tc>
          <w:tcPr>
            <w:tcW w:w="7655" w:type="dxa"/>
          </w:tcPr>
          <w:p w14:paraId="67E339C0" w14:textId="081EACF5" w:rsidR="008C5AA1" w:rsidRPr="00080145" w:rsidRDefault="00237E37" w:rsidP="00F10EA3">
            <w:pPr>
              <w:rPr>
                <w:rFonts w:eastAsia="Times New Roman"/>
                <w:color w:val="auto"/>
                <w:sz w:val="20"/>
                <w:szCs w:val="20"/>
                <w:lang w:eastAsia="en-GB"/>
              </w:rPr>
            </w:pPr>
            <w:r w:rsidRPr="00080145">
              <w:rPr>
                <w:rFonts w:eastAsia="Times New Roman"/>
                <w:color w:val="auto"/>
                <w:sz w:val="20"/>
                <w:szCs w:val="20"/>
                <w:lang w:eastAsia="en-GB"/>
              </w:rPr>
              <w:t>This act makes the specific provision for the secretary of state to issue codes of practice to police with statutory effects.</w:t>
            </w:r>
            <w:r w:rsidR="00467E3D" w:rsidRPr="00080145">
              <w:rPr>
                <w:rFonts w:eastAsia="Times New Roman"/>
                <w:color w:val="auto"/>
                <w:sz w:val="20"/>
                <w:szCs w:val="20"/>
                <w:lang w:eastAsia="en-GB"/>
              </w:rPr>
              <w:t xml:space="preserve"> It provides the basis for many of the police actions in respect of matters relating to safe</w:t>
            </w:r>
            <w:r w:rsidR="00C03322" w:rsidRPr="00080145">
              <w:rPr>
                <w:rFonts w:eastAsia="Times New Roman"/>
                <w:color w:val="auto"/>
                <w:sz w:val="20"/>
                <w:szCs w:val="20"/>
                <w:lang w:eastAsia="en-GB"/>
              </w:rPr>
              <w:t xml:space="preserve">guarding and other matters, and as such provides their </w:t>
            </w:r>
            <w:r w:rsidR="00F20041" w:rsidRPr="00080145">
              <w:rPr>
                <w:rFonts w:eastAsia="Times New Roman"/>
                <w:color w:val="auto"/>
                <w:sz w:val="20"/>
                <w:szCs w:val="20"/>
                <w:lang w:eastAsia="en-GB"/>
              </w:rPr>
              <w:t>legal basis for use.</w:t>
            </w:r>
          </w:p>
        </w:tc>
      </w:tr>
      <w:tr w:rsidR="00C43A44" w:rsidRPr="00080145" w14:paraId="5312D453" w14:textId="77777777" w:rsidTr="00200216">
        <w:trPr>
          <w:cantSplit/>
        </w:trPr>
        <w:tc>
          <w:tcPr>
            <w:tcW w:w="2830" w:type="dxa"/>
          </w:tcPr>
          <w:p w14:paraId="40C172BE" w14:textId="77777777" w:rsidR="00C43A44" w:rsidRPr="00080145" w:rsidRDefault="00C43A44" w:rsidP="00F10EA3">
            <w:pPr>
              <w:pStyle w:val="Body"/>
              <w:rPr>
                <w:color w:val="auto"/>
                <w:sz w:val="20"/>
                <w:szCs w:val="20"/>
                <w:lang w:val="en-GB"/>
              </w:rPr>
            </w:pPr>
            <w:r w:rsidRPr="00080145">
              <w:rPr>
                <w:color w:val="auto"/>
                <w:sz w:val="20"/>
                <w:szCs w:val="20"/>
                <w:lang w:val="en-GB"/>
              </w:rPr>
              <w:t>The Children &amp; Social Work Act 2017</w:t>
            </w:r>
            <w:r w:rsidRPr="00080145">
              <w:rPr>
                <w:rStyle w:val="FootnoteReference"/>
                <w:color w:val="auto"/>
                <w:sz w:val="20"/>
                <w:szCs w:val="20"/>
                <w:lang w:val="en-GB"/>
              </w:rPr>
              <w:footnoteReference w:id="8"/>
            </w:r>
          </w:p>
        </w:tc>
        <w:tc>
          <w:tcPr>
            <w:tcW w:w="7655" w:type="dxa"/>
          </w:tcPr>
          <w:p w14:paraId="585BC148" w14:textId="77777777" w:rsidR="00C43A44" w:rsidRPr="00080145" w:rsidRDefault="00C43A44" w:rsidP="00F10EA3">
            <w:pPr>
              <w:rPr>
                <w:rFonts w:eastAsia="Times New Roman"/>
                <w:color w:val="auto"/>
                <w:sz w:val="20"/>
                <w:szCs w:val="20"/>
                <w:lang w:eastAsia="en-GB"/>
              </w:rPr>
            </w:pPr>
            <w:r w:rsidRPr="00080145">
              <w:rPr>
                <w:rFonts w:eastAsia="Times New Roman"/>
                <w:color w:val="auto"/>
                <w:sz w:val="20"/>
                <w:szCs w:val="20"/>
                <w:lang w:eastAsia="en-GB"/>
              </w:rPr>
              <w:t>The Children and Social Work Act 2017 (the Act) is intended to improve support for looked after children and care leavers, promote the welfare and safeguarding of children, and make provisions about the regulation of social workers. The Act sets out corporate parenting principles for the council as a whole to be the best parent it can be to children in its care. These are largely a collation of existing duties local authorities have towards looked after children and those leaving care.</w:t>
            </w:r>
          </w:p>
        </w:tc>
      </w:tr>
      <w:tr w:rsidR="00C43A44" w:rsidRPr="00080145" w14:paraId="75680CE4" w14:textId="77777777" w:rsidTr="00200216">
        <w:trPr>
          <w:cantSplit/>
        </w:trPr>
        <w:tc>
          <w:tcPr>
            <w:tcW w:w="2830" w:type="dxa"/>
          </w:tcPr>
          <w:p w14:paraId="146866F2" w14:textId="77777777" w:rsidR="00C43A44" w:rsidRPr="00080145" w:rsidRDefault="00C43A44" w:rsidP="00F10EA3">
            <w:pPr>
              <w:pStyle w:val="Body"/>
              <w:rPr>
                <w:color w:val="auto"/>
                <w:sz w:val="20"/>
                <w:szCs w:val="20"/>
                <w:lang w:val="en-GB"/>
              </w:rPr>
            </w:pPr>
            <w:r w:rsidRPr="00080145">
              <w:rPr>
                <w:color w:val="auto"/>
                <w:sz w:val="20"/>
                <w:szCs w:val="20"/>
                <w:lang w:val="en-GB"/>
              </w:rPr>
              <w:t>The Mental Capacity Act 2005</w:t>
            </w:r>
            <w:r w:rsidRPr="00080145">
              <w:rPr>
                <w:rStyle w:val="FootnoteReference"/>
                <w:color w:val="auto"/>
                <w:sz w:val="20"/>
                <w:szCs w:val="20"/>
                <w:lang w:val="en-GB"/>
              </w:rPr>
              <w:footnoteReference w:id="9"/>
            </w:r>
          </w:p>
        </w:tc>
        <w:tc>
          <w:tcPr>
            <w:tcW w:w="7655" w:type="dxa"/>
          </w:tcPr>
          <w:p w14:paraId="04420FE2" w14:textId="77777777" w:rsidR="00C43A44" w:rsidRPr="00080145" w:rsidRDefault="00C43A44" w:rsidP="00F10EA3">
            <w:pPr>
              <w:rPr>
                <w:rFonts w:eastAsia="Times New Roman"/>
                <w:color w:val="auto"/>
                <w:sz w:val="20"/>
                <w:szCs w:val="20"/>
                <w:lang w:eastAsia="en-GB"/>
              </w:rPr>
            </w:pPr>
            <w:r w:rsidRPr="00080145">
              <w:rPr>
                <w:rFonts w:eastAsia="Times New Roman"/>
                <w:color w:val="auto"/>
                <w:sz w:val="20"/>
                <w:szCs w:val="20"/>
                <w:lang w:eastAsia="en-GB"/>
              </w:rPr>
              <w:t>The Mental Capacity Act (MCA) 2005 promotes a person centred approach which promotes autonomy and for those who may lack mental capacity ensures that decisions made on their behalf are made in their best interests and with the least possible restriction of freedoms</w:t>
            </w:r>
          </w:p>
        </w:tc>
      </w:tr>
      <w:tr w:rsidR="008B7090" w:rsidRPr="00080145" w14:paraId="08DE98DF" w14:textId="77777777" w:rsidTr="00200216">
        <w:trPr>
          <w:cantSplit/>
        </w:trPr>
        <w:tc>
          <w:tcPr>
            <w:tcW w:w="2830" w:type="dxa"/>
            <w:shd w:val="clear" w:color="auto" w:fill="auto"/>
          </w:tcPr>
          <w:p w14:paraId="33C38515" w14:textId="2C1A41F5" w:rsidR="00C43A44" w:rsidRPr="00080145" w:rsidRDefault="00C43A44" w:rsidP="00F10EA3">
            <w:pPr>
              <w:pStyle w:val="Body"/>
              <w:rPr>
                <w:color w:val="auto"/>
                <w:sz w:val="20"/>
                <w:szCs w:val="20"/>
                <w:lang w:val="en-GB"/>
              </w:rPr>
            </w:pPr>
            <w:r w:rsidRPr="00080145">
              <w:rPr>
                <w:color w:val="auto"/>
                <w:sz w:val="20"/>
                <w:szCs w:val="20"/>
                <w:lang w:val="en-GB"/>
              </w:rPr>
              <w:t>The Health and Social Care Act 201</w:t>
            </w:r>
            <w:r w:rsidR="00CB2311" w:rsidRPr="00080145">
              <w:rPr>
                <w:color w:val="auto"/>
                <w:sz w:val="20"/>
                <w:szCs w:val="20"/>
                <w:lang w:val="en-GB"/>
              </w:rPr>
              <w:t>2</w:t>
            </w:r>
            <w:r w:rsidRPr="00080145">
              <w:rPr>
                <w:rStyle w:val="FootnoteReference"/>
                <w:color w:val="auto"/>
                <w:sz w:val="20"/>
                <w:szCs w:val="20"/>
                <w:lang w:val="en-GB"/>
              </w:rPr>
              <w:footnoteReference w:id="10"/>
            </w:r>
          </w:p>
        </w:tc>
        <w:tc>
          <w:tcPr>
            <w:tcW w:w="7655" w:type="dxa"/>
          </w:tcPr>
          <w:p w14:paraId="116DC5EA" w14:textId="77777777" w:rsidR="00C43A44" w:rsidRPr="00080145" w:rsidRDefault="00702668" w:rsidP="00F10EA3">
            <w:pPr>
              <w:rPr>
                <w:rFonts w:eastAsia="Times New Roman"/>
                <w:color w:val="auto"/>
                <w:sz w:val="20"/>
                <w:szCs w:val="20"/>
                <w:lang w:eastAsia="en-GB"/>
              </w:rPr>
            </w:pPr>
            <w:r w:rsidRPr="00080145">
              <w:rPr>
                <w:rFonts w:eastAsia="Times New Roman"/>
                <w:color w:val="auto"/>
                <w:sz w:val="20"/>
                <w:szCs w:val="20"/>
                <w:lang w:eastAsia="en-GB"/>
              </w:rPr>
              <w:t>This act provides for the delivery of Health and Social Care, providing a legal basis for many of the services delivered by parties to this agreement. In particular, it places (section</w:t>
            </w:r>
            <w:r w:rsidR="00571789" w:rsidRPr="00080145">
              <w:rPr>
                <w:rFonts w:eastAsia="Times New Roman"/>
                <w:color w:val="auto"/>
                <w:sz w:val="20"/>
                <w:szCs w:val="20"/>
                <w:lang w:eastAsia="en-GB"/>
              </w:rPr>
              <w:t xml:space="preserve"> 251B) a duty to share information relating to health and adult social care unless the data subject has specifically objected.</w:t>
            </w:r>
          </w:p>
          <w:p w14:paraId="6ED55303" w14:textId="66B07BD9" w:rsidR="00571789" w:rsidRPr="00080145" w:rsidRDefault="0060386A" w:rsidP="00F10EA3">
            <w:pPr>
              <w:rPr>
                <w:rFonts w:eastAsia="Times New Roman"/>
                <w:color w:val="auto"/>
                <w:sz w:val="20"/>
                <w:szCs w:val="20"/>
                <w:lang w:eastAsia="en-GB"/>
              </w:rPr>
            </w:pPr>
            <w:r w:rsidRPr="00080145">
              <w:rPr>
                <w:sz w:val="20"/>
                <w:szCs w:val="20"/>
              </w:rPr>
              <w:t>This regulation provides a specific duty giving a legal basis under Section 8 of the DPA for this use.</w:t>
            </w:r>
          </w:p>
        </w:tc>
      </w:tr>
      <w:tr w:rsidR="00C43A44" w:rsidRPr="00080145" w14:paraId="5C37E336" w14:textId="77777777" w:rsidTr="00200216">
        <w:trPr>
          <w:cantSplit/>
        </w:trPr>
        <w:tc>
          <w:tcPr>
            <w:tcW w:w="2830" w:type="dxa"/>
          </w:tcPr>
          <w:p w14:paraId="5E9B6360" w14:textId="77777777" w:rsidR="00C43A44" w:rsidRPr="00080145" w:rsidRDefault="00C43A44" w:rsidP="00F10EA3">
            <w:pPr>
              <w:pStyle w:val="Body"/>
              <w:rPr>
                <w:color w:val="auto"/>
                <w:sz w:val="20"/>
                <w:szCs w:val="20"/>
                <w:lang w:val="en-GB"/>
              </w:rPr>
            </w:pPr>
            <w:r w:rsidRPr="00080145">
              <w:rPr>
                <w:color w:val="auto"/>
                <w:sz w:val="20"/>
                <w:szCs w:val="20"/>
                <w:lang w:val="en-GB"/>
              </w:rPr>
              <w:lastRenderedPageBreak/>
              <w:t>The Crime and Disorder Act 1998</w:t>
            </w:r>
            <w:r w:rsidRPr="00080145">
              <w:rPr>
                <w:rStyle w:val="FootnoteReference"/>
                <w:color w:val="auto"/>
                <w:sz w:val="20"/>
                <w:szCs w:val="20"/>
                <w:lang w:val="en-GB"/>
              </w:rPr>
              <w:footnoteReference w:id="11"/>
            </w:r>
          </w:p>
        </w:tc>
        <w:tc>
          <w:tcPr>
            <w:tcW w:w="7655" w:type="dxa"/>
          </w:tcPr>
          <w:p w14:paraId="0A4034D7" w14:textId="77777777" w:rsidR="00C43A44" w:rsidRPr="00080145" w:rsidRDefault="00C43A44" w:rsidP="00F10EA3">
            <w:pPr>
              <w:rPr>
                <w:rFonts w:eastAsia="Times New Roman"/>
                <w:color w:val="auto"/>
                <w:sz w:val="20"/>
                <w:szCs w:val="20"/>
                <w:lang w:eastAsia="en-GB"/>
              </w:rPr>
            </w:pPr>
            <w:r w:rsidRPr="00080145">
              <w:rPr>
                <w:rFonts w:eastAsia="Times New Roman"/>
                <w:color w:val="auto"/>
                <w:sz w:val="20"/>
                <w:szCs w:val="20"/>
                <w:lang w:eastAsia="en-GB"/>
              </w:rPr>
              <w:t xml:space="preserve">Each LA in England &amp; Wales has the responsibility to formulate a strategy to reduce crime and disorder in their area and to work with police authorities to do this. </w:t>
            </w:r>
          </w:p>
        </w:tc>
      </w:tr>
      <w:tr w:rsidR="00C43A44" w:rsidRPr="00080145" w14:paraId="1D1E297C" w14:textId="77777777" w:rsidTr="00200216">
        <w:trPr>
          <w:cantSplit/>
        </w:trPr>
        <w:tc>
          <w:tcPr>
            <w:tcW w:w="2830" w:type="dxa"/>
          </w:tcPr>
          <w:p w14:paraId="671476EA" w14:textId="77777777" w:rsidR="00C43A44" w:rsidRPr="00080145" w:rsidRDefault="00C43A44" w:rsidP="00F10EA3">
            <w:pPr>
              <w:pStyle w:val="Body"/>
              <w:rPr>
                <w:color w:val="auto"/>
                <w:sz w:val="20"/>
                <w:szCs w:val="20"/>
                <w:lang w:val="en-GB"/>
              </w:rPr>
            </w:pPr>
            <w:r w:rsidRPr="00080145">
              <w:rPr>
                <w:color w:val="auto"/>
                <w:sz w:val="20"/>
                <w:szCs w:val="20"/>
                <w:lang w:val="en-GB"/>
              </w:rPr>
              <w:t>FGM Mandatory Guidance</w:t>
            </w:r>
            <w:r w:rsidRPr="00080145">
              <w:rPr>
                <w:rStyle w:val="FootnoteReference"/>
                <w:color w:val="auto"/>
                <w:sz w:val="20"/>
                <w:szCs w:val="20"/>
                <w:lang w:val="en-GB"/>
              </w:rPr>
              <w:footnoteReference w:id="12"/>
            </w:r>
          </w:p>
        </w:tc>
        <w:tc>
          <w:tcPr>
            <w:tcW w:w="7655" w:type="dxa"/>
          </w:tcPr>
          <w:p w14:paraId="1722E938" w14:textId="77777777" w:rsidR="00C43A44" w:rsidRPr="00080145" w:rsidRDefault="00C43A44" w:rsidP="00F10EA3">
            <w:pPr>
              <w:rPr>
                <w:rFonts w:eastAsia="Times New Roman"/>
                <w:color w:val="auto"/>
                <w:sz w:val="20"/>
                <w:szCs w:val="20"/>
                <w:lang w:eastAsia="en-GB"/>
              </w:rPr>
            </w:pPr>
            <w:r w:rsidRPr="00080145">
              <w:rPr>
                <w:rFonts w:eastAsia="Times New Roman"/>
                <w:color w:val="auto"/>
                <w:sz w:val="20"/>
                <w:szCs w:val="20"/>
                <w:lang w:eastAsia="en-GB"/>
              </w:rPr>
              <w:t>Section 5B of the 2003 Act introduces a mandatory reporting duty which requires regulated health and social care professionals and teachers in England and Wales to report ‘known’ cases of FGM in under 18s which they identify in the course of their professional work to the police.</w:t>
            </w:r>
          </w:p>
          <w:p w14:paraId="3159C6A3" w14:textId="77777777" w:rsidR="00C43A44" w:rsidRPr="00080145" w:rsidRDefault="00C43A44" w:rsidP="00F10EA3">
            <w:pPr>
              <w:rPr>
                <w:color w:val="auto"/>
                <w:sz w:val="20"/>
                <w:szCs w:val="20"/>
              </w:rPr>
            </w:pPr>
            <w:r w:rsidRPr="00080145">
              <w:rPr>
                <w:rFonts w:eastAsia="Times New Roman"/>
                <w:color w:val="auto"/>
                <w:sz w:val="20"/>
                <w:szCs w:val="20"/>
                <w:lang w:eastAsia="en-GB"/>
              </w:rPr>
              <w:t>The duty applies to all regulated professionals (as defined in section 5B(2)(a), (11) and (12) of the 2003 Act) working within health or social care, and teachers.</w:t>
            </w:r>
            <w:r w:rsidRPr="00080145">
              <w:rPr>
                <w:color w:val="auto"/>
                <w:sz w:val="20"/>
                <w:szCs w:val="20"/>
              </w:rPr>
              <w:t xml:space="preserve"> </w:t>
            </w:r>
          </w:p>
          <w:p w14:paraId="5C262505" w14:textId="77777777" w:rsidR="00C43A44" w:rsidRPr="00080145" w:rsidRDefault="00C43A44" w:rsidP="00F10EA3">
            <w:pPr>
              <w:rPr>
                <w:rFonts w:eastAsia="Times New Roman"/>
                <w:color w:val="auto"/>
                <w:sz w:val="20"/>
                <w:szCs w:val="20"/>
                <w:lang w:eastAsia="en-GB"/>
              </w:rPr>
            </w:pPr>
            <w:r w:rsidRPr="00080145">
              <w:rPr>
                <w:rFonts w:eastAsia="Times New Roman"/>
                <w:color w:val="auto"/>
                <w:sz w:val="20"/>
                <w:szCs w:val="20"/>
                <w:lang w:eastAsia="en-GB"/>
              </w:rPr>
              <w:t>The legislation requires regulated health and social care professionals and teachers in England and Wales to make a report to the police where, in the course of their professional duties, they either:</w:t>
            </w:r>
          </w:p>
          <w:p w14:paraId="3E67076F" w14:textId="77777777" w:rsidR="00C43A44" w:rsidRPr="00080145" w:rsidRDefault="00C43A44" w:rsidP="00F10EA3">
            <w:pPr>
              <w:pStyle w:val="Bodybullets"/>
              <w:tabs>
                <w:tab w:val="clear" w:pos="454"/>
                <w:tab w:val="num" w:pos="320"/>
              </w:tabs>
              <w:ind w:left="320" w:hanging="284"/>
              <w:rPr>
                <w:color w:val="auto"/>
                <w:sz w:val="20"/>
                <w:szCs w:val="20"/>
                <w:lang w:val="en-GB" w:eastAsia="en-GB"/>
              </w:rPr>
            </w:pPr>
            <w:r w:rsidRPr="00080145">
              <w:rPr>
                <w:color w:val="auto"/>
                <w:sz w:val="20"/>
                <w:szCs w:val="20"/>
                <w:lang w:val="en-GB"/>
              </w:rPr>
              <w:t xml:space="preserve">are informed by a girl under 18 that an act of FGM has been carried out on her; or, </w:t>
            </w:r>
          </w:p>
          <w:p w14:paraId="11950644" w14:textId="77777777" w:rsidR="00C43A44" w:rsidRPr="00080145" w:rsidRDefault="00C43A44" w:rsidP="00F10EA3">
            <w:pPr>
              <w:pStyle w:val="Bodybullets"/>
              <w:tabs>
                <w:tab w:val="clear" w:pos="454"/>
                <w:tab w:val="num" w:pos="320"/>
              </w:tabs>
              <w:ind w:left="320" w:hanging="284"/>
              <w:rPr>
                <w:color w:val="auto"/>
                <w:sz w:val="20"/>
                <w:szCs w:val="20"/>
                <w:lang w:val="en-GB" w:eastAsia="en-GB"/>
              </w:rPr>
            </w:pPr>
            <w:r w:rsidRPr="00080145">
              <w:rPr>
                <w:color w:val="auto"/>
                <w:sz w:val="20"/>
                <w:szCs w:val="20"/>
                <w:lang w:val="en-GB"/>
              </w:rPr>
              <w:t>observe physical signs which appear to show that an act of FGM has been carried out on a girl under 18 and they have no reason to believe that the act was necessary for the girl’s physical or mental health or for purposes connected with labour or birth.</w:t>
            </w:r>
          </w:p>
        </w:tc>
      </w:tr>
      <w:tr w:rsidR="00C43A44" w:rsidRPr="00080145" w14:paraId="39574C03" w14:textId="77777777" w:rsidTr="00200216">
        <w:trPr>
          <w:cantSplit/>
        </w:trPr>
        <w:tc>
          <w:tcPr>
            <w:tcW w:w="2830" w:type="dxa"/>
          </w:tcPr>
          <w:p w14:paraId="292A382A" w14:textId="77777777" w:rsidR="00C43A44" w:rsidRPr="00080145" w:rsidRDefault="00C43A44" w:rsidP="00F10EA3">
            <w:pPr>
              <w:pStyle w:val="Body"/>
              <w:rPr>
                <w:color w:val="auto"/>
                <w:sz w:val="20"/>
                <w:szCs w:val="20"/>
                <w:lang w:val="en-GB"/>
              </w:rPr>
            </w:pPr>
            <w:r w:rsidRPr="00080145">
              <w:rPr>
                <w:color w:val="auto"/>
                <w:sz w:val="20"/>
                <w:szCs w:val="20"/>
                <w:lang w:val="en-GB"/>
              </w:rPr>
              <w:t>Department for Education Information Sharing for Practitioners 2018</w:t>
            </w:r>
            <w:r w:rsidRPr="00080145">
              <w:rPr>
                <w:rStyle w:val="FootnoteReference"/>
                <w:color w:val="auto"/>
                <w:sz w:val="20"/>
                <w:szCs w:val="20"/>
                <w:lang w:val="en-GB"/>
              </w:rPr>
              <w:footnoteReference w:id="13"/>
            </w:r>
          </w:p>
        </w:tc>
        <w:tc>
          <w:tcPr>
            <w:tcW w:w="7655" w:type="dxa"/>
          </w:tcPr>
          <w:p w14:paraId="53B96CFD" w14:textId="77777777" w:rsidR="00C43A44" w:rsidRPr="00080145" w:rsidRDefault="00C43A44" w:rsidP="00F10EA3">
            <w:pPr>
              <w:rPr>
                <w:rFonts w:eastAsia="Times New Roman"/>
                <w:color w:val="auto"/>
                <w:sz w:val="20"/>
                <w:szCs w:val="20"/>
                <w:lang w:eastAsia="en-GB"/>
              </w:rPr>
            </w:pPr>
            <w:r w:rsidRPr="00080145">
              <w:rPr>
                <w:rFonts w:eastAsia="Times New Roman"/>
                <w:color w:val="auto"/>
                <w:sz w:val="20"/>
                <w:szCs w:val="20"/>
                <w:lang w:eastAsia="en-GB"/>
              </w:rPr>
              <w:t xml:space="preserve">This HM Government advice is non-statutory, and has been produced to support practitioners in the decisions they take to share information, which reduces the risk of harm to children and young people and promotes their well-being. </w:t>
            </w:r>
          </w:p>
          <w:p w14:paraId="0B96F590" w14:textId="77777777" w:rsidR="00C43A44" w:rsidRPr="00080145" w:rsidRDefault="00C43A44" w:rsidP="00F10EA3">
            <w:pPr>
              <w:rPr>
                <w:rFonts w:eastAsia="Times New Roman"/>
                <w:color w:val="auto"/>
                <w:sz w:val="20"/>
                <w:szCs w:val="20"/>
                <w:lang w:eastAsia="en-GB"/>
              </w:rPr>
            </w:pPr>
            <w:r w:rsidRPr="00080145">
              <w:rPr>
                <w:rFonts w:eastAsia="Times New Roman"/>
                <w:color w:val="auto"/>
                <w:sz w:val="20"/>
                <w:szCs w:val="20"/>
                <w:lang w:eastAsia="en-GB"/>
              </w:rPr>
              <w:t xml:space="preserve">The advice is for all frontline practitioners and senior managers working with children, young people, parents and carers who have to make decisions about sharing personal information on a case-by-case basis. </w:t>
            </w:r>
          </w:p>
        </w:tc>
      </w:tr>
      <w:tr w:rsidR="00C43A44" w:rsidRPr="00080145" w14:paraId="2A0EF044" w14:textId="77777777" w:rsidTr="00200216">
        <w:trPr>
          <w:cantSplit/>
        </w:trPr>
        <w:tc>
          <w:tcPr>
            <w:tcW w:w="2830" w:type="dxa"/>
          </w:tcPr>
          <w:p w14:paraId="650BD97E" w14:textId="77777777" w:rsidR="00C43A44" w:rsidRPr="00080145" w:rsidRDefault="00C43A44" w:rsidP="00F10EA3">
            <w:pPr>
              <w:pStyle w:val="Body"/>
              <w:rPr>
                <w:color w:val="auto"/>
                <w:sz w:val="20"/>
                <w:szCs w:val="20"/>
                <w:lang w:val="en-GB"/>
              </w:rPr>
            </w:pPr>
            <w:r w:rsidRPr="00080145">
              <w:rPr>
                <w:color w:val="auto"/>
                <w:sz w:val="20"/>
                <w:szCs w:val="20"/>
                <w:lang w:val="en-GB"/>
              </w:rPr>
              <w:t>Working Together to Safeguard Children 2018</w:t>
            </w:r>
          </w:p>
        </w:tc>
        <w:tc>
          <w:tcPr>
            <w:tcW w:w="7655" w:type="dxa"/>
          </w:tcPr>
          <w:p w14:paraId="622F33B9" w14:textId="77777777" w:rsidR="00C43A44" w:rsidRPr="00080145" w:rsidRDefault="00C43A44" w:rsidP="00F10EA3">
            <w:pPr>
              <w:rPr>
                <w:rFonts w:eastAsia="Times New Roman"/>
                <w:color w:val="auto"/>
                <w:sz w:val="20"/>
                <w:szCs w:val="20"/>
                <w:lang w:eastAsia="en-GB"/>
              </w:rPr>
            </w:pPr>
            <w:r w:rsidRPr="00080145">
              <w:rPr>
                <w:rFonts w:eastAsia="Times New Roman"/>
                <w:color w:val="auto"/>
                <w:sz w:val="20"/>
                <w:szCs w:val="20"/>
                <w:lang w:eastAsia="en-GB"/>
              </w:rPr>
              <w:t>Local authorities, working with partner organ</w:t>
            </w:r>
            <w:r w:rsidR="0080006A" w:rsidRPr="00080145">
              <w:rPr>
                <w:rFonts w:eastAsia="Times New Roman"/>
                <w:color w:val="auto"/>
                <w:sz w:val="20"/>
                <w:szCs w:val="20"/>
                <w:lang w:eastAsia="en-GB"/>
              </w:rPr>
              <w:t>isat</w:t>
            </w:r>
            <w:r w:rsidRPr="00080145">
              <w:rPr>
                <w:rFonts w:eastAsia="Times New Roman"/>
                <w:color w:val="auto"/>
                <w:sz w:val="20"/>
                <w:szCs w:val="20"/>
                <w:lang w:eastAsia="en-GB"/>
              </w:rPr>
              <w:t>ions and agencies, have specific duties to safeguard and promote the welfare of all children in their area. The Children Acts of 1989 and 2004 set out specific duties: section 17 of the Children Act 1989 puts a duty on the local authority to provide services to children in need in their area, regardless of where they are found; section 47 of the same Act requires local authorities to undertake enquiries if they believe a child has suffered or is likely to suffer significant harm.</w:t>
            </w:r>
          </w:p>
          <w:p w14:paraId="12A39EC7" w14:textId="59A88532" w:rsidR="000F5574" w:rsidRPr="00080145" w:rsidRDefault="000F7507" w:rsidP="00F10EA3">
            <w:pPr>
              <w:rPr>
                <w:rFonts w:eastAsia="Times New Roman"/>
                <w:color w:val="auto"/>
                <w:sz w:val="20"/>
                <w:szCs w:val="20"/>
                <w:lang w:eastAsia="en-GB"/>
              </w:rPr>
            </w:pPr>
            <w:r w:rsidRPr="00080145">
              <w:rPr>
                <w:rFonts w:eastAsia="Times New Roman"/>
                <w:color w:val="auto"/>
                <w:sz w:val="20"/>
                <w:szCs w:val="20"/>
                <w:lang w:eastAsia="en-GB"/>
              </w:rPr>
              <w:t>This provides the policy document required for</w:t>
            </w:r>
            <w:r w:rsidR="00A02857" w:rsidRPr="00080145">
              <w:rPr>
                <w:rFonts w:eastAsia="Times New Roman"/>
                <w:color w:val="auto"/>
                <w:sz w:val="20"/>
                <w:szCs w:val="20"/>
                <w:lang w:eastAsia="en-GB"/>
              </w:rPr>
              <w:t xml:space="preserve"> the safeguarding purposes</w:t>
            </w:r>
            <w:r w:rsidR="00E61FDF" w:rsidRPr="00080145">
              <w:rPr>
                <w:rFonts w:eastAsia="Times New Roman"/>
                <w:color w:val="auto"/>
                <w:sz w:val="20"/>
                <w:szCs w:val="20"/>
                <w:lang w:eastAsia="en-GB"/>
              </w:rPr>
              <w:t xml:space="preserve"> under Schedule 1 Part 2, para 18 of the DPA</w:t>
            </w:r>
            <w:r w:rsidR="005F16B2" w:rsidRPr="00080145">
              <w:rPr>
                <w:rFonts w:eastAsia="Times New Roman"/>
                <w:color w:val="auto"/>
                <w:sz w:val="20"/>
                <w:szCs w:val="20"/>
                <w:lang w:eastAsia="en-GB"/>
              </w:rPr>
              <w:t xml:space="preserve"> for national bodies</w:t>
            </w:r>
            <w:r w:rsidR="00E61FDF" w:rsidRPr="00080145">
              <w:rPr>
                <w:rFonts w:eastAsia="Times New Roman"/>
                <w:color w:val="auto"/>
                <w:sz w:val="20"/>
                <w:szCs w:val="20"/>
                <w:lang w:eastAsia="en-GB"/>
              </w:rPr>
              <w:t>.</w:t>
            </w:r>
          </w:p>
        </w:tc>
      </w:tr>
      <w:tr w:rsidR="00C43A44" w:rsidRPr="00080145" w14:paraId="25EB8A9E" w14:textId="77777777" w:rsidTr="00200216">
        <w:trPr>
          <w:cantSplit/>
        </w:trPr>
        <w:tc>
          <w:tcPr>
            <w:tcW w:w="2830" w:type="dxa"/>
          </w:tcPr>
          <w:p w14:paraId="1A242E7B" w14:textId="77777777" w:rsidR="00C43A44" w:rsidRPr="00080145" w:rsidRDefault="00C43A44" w:rsidP="00F10EA3">
            <w:pPr>
              <w:pStyle w:val="Body"/>
              <w:rPr>
                <w:color w:val="auto"/>
                <w:sz w:val="20"/>
                <w:szCs w:val="20"/>
                <w:lang w:val="en-GB"/>
              </w:rPr>
            </w:pPr>
            <w:r w:rsidRPr="00080145">
              <w:rPr>
                <w:color w:val="auto"/>
                <w:sz w:val="20"/>
                <w:szCs w:val="20"/>
                <w:lang w:val="en-GB"/>
              </w:rPr>
              <w:lastRenderedPageBreak/>
              <w:t>London Child Protection Procedures 2018</w:t>
            </w:r>
            <w:r w:rsidRPr="00080145">
              <w:rPr>
                <w:rStyle w:val="FootnoteReference"/>
                <w:color w:val="auto"/>
                <w:sz w:val="20"/>
                <w:szCs w:val="20"/>
                <w:lang w:val="en-GB"/>
              </w:rPr>
              <w:footnoteReference w:id="14"/>
            </w:r>
          </w:p>
        </w:tc>
        <w:tc>
          <w:tcPr>
            <w:tcW w:w="7655" w:type="dxa"/>
          </w:tcPr>
          <w:p w14:paraId="26FB9180" w14:textId="77777777" w:rsidR="00C43A44" w:rsidRPr="00080145" w:rsidRDefault="00C43A44" w:rsidP="00F10EA3">
            <w:pPr>
              <w:rPr>
                <w:rFonts w:eastAsia="Times New Roman"/>
                <w:color w:val="auto"/>
                <w:sz w:val="20"/>
                <w:szCs w:val="20"/>
                <w:lang w:eastAsia="en-GB"/>
              </w:rPr>
            </w:pPr>
            <w:r w:rsidRPr="00080145">
              <w:rPr>
                <w:rFonts w:eastAsia="Times New Roman"/>
                <w:color w:val="auto"/>
                <w:sz w:val="20"/>
                <w:szCs w:val="20"/>
                <w:lang w:eastAsia="en-GB"/>
              </w:rPr>
              <w:t>The London Child Protection Procedures sets out the procedures which all London agencies, groups and individuals must follow in identifying, raising and responding to welfare concerns when coming into contact with or receiving information about children 0 to 17 years, including unborn children and adolescents up to their 18</w:t>
            </w:r>
            <w:r w:rsidRPr="00080145">
              <w:rPr>
                <w:rFonts w:eastAsia="Times New Roman"/>
                <w:color w:val="auto"/>
                <w:sz w:val="20"/>
                <w:szCs w:val="20"/>
                <w:vertAlign w:val="superscript"/>
                <w:lang w:eastAsia="en-GB"/>
              </w:rPr>
              <w:t>th</w:t>
            </w:r>
            <w:r w:rsidRPr="00080145">
              <w:rPr>
                <w:rFonts w:eastAsia="Times New Roman"/>
                <w:color w:val="auto"/>
                <w:sz w:val="20"/>
                <w:szCs w:val="20"/>
                <w:lang w:eastAsia="en-GB"/>
              </w:rPr>
              <w:t xml:space="preserve"> birthday</w:t>
            </w:r>
          </w:p>
          <w:p w14:paraId="7917ECFC" w14:textId="5A0E7637" w:rsidR="00E61FDF" w:rsidRPr="00080145" w:rsidRDefault="00E61FDF" w:rsidP="00F10EA3">
            <w:pPr>
              <w:rPr>
                <w:rFonts w:eastAsia="Times New Roman"/>
                <w:color w:val="auto"/>
                <w:sz w:val="20"/>
                <w:szCs w:val="20"/>
                <w:lang w:eastAsia="en-GB"/>
              </w:rPr>
            </w:pPr>
            <w:r w:rsidRPr="00080145">
              <w:rPr>
                <w:rFonts w:eastAsia="Times New Roman"/>
                <w:color w:val="auto"/>
                <w:sz w:val="20"/>
                <w:szCs w:val="20"/>
                <w:lang w:eastAsia="en-GB"/>
              </w:rPr>
              <w:t>This provides the policy document required for the safeguarding purposes under Schedule 1 Part 2, para 18 of the DPA</w:t>
            </w:r>
            <w:r w:rsidR="00326DF5" w:rsidRPr="00080145">
              <w:rPr>
                <w:rFonts w:eastAsia="Times New Roman"/>
                <w:color w:val="auto"/>
                <w:sz w:val="20"/>
                <w:szCs w:val="20"/>
                <w:lang w:eastAsia="en-GB"/>
              </w:rPr>
              <w:t xml:space="preserve"> for various London bodies.</w:t>
            </w:r>
          </w:p>
        </w:tc>
      </w:tr>
      <w:tr w:rsidR="008B7090" w:rsidRPr="00080145" w14:paraId="25BD63FB" w14:textId="77777777" w:rsidTr="00200216">
        <w:trPr>
          <w:cantSplit/>
        </w:trPr>
        <w:tc>
          <w:tcPr>
            <w:tcW w:w="2830" w:type="dxa"/>
          </w:tcPr>
          <w:p w14:paraId="583187AB" w14:textId="77777777" w:rsidR="00C43A44" w:rsidRPr="00080145" w:rsidRDefault="00C43A44" w:rsidP="00F10EA3">
            <w:pPr>
              <w:pStyle w:val="Body"/>
              <w:rPr>
                <w:color w:val="auto"/>
                <w:sz w:val="20"/>
                <w:szCs w:val="20"/>
                <w:lang w:val="en-GB"/>
              </w:rPr>
            </w:pPr>
            <w:r w:rsidRPr="00080145">
              <w:rPr>
                <w:color w:val="auto"/>
                <w:sz w:val="20"/>
                <w:szCs w:val="20"/>
                <w:lang w:val="en-GB"/>
              </w:rPr>
              <w:t xml:space="preserve">NHSE Safeguarding Vulnerable People in the NHS – Accountability and Assurance Framework 2015 </w:t>
            </w:r>
            <w:r w:rsidRPr="00080145">
              <w:rPr>
                <w:rStyle w:val="FootnoteReference"/>
                <w:color w:val="auto"/>
                <w:sz w:val="20"/>
                <w:szCs w:val="20"/>
                <w:lang w:val="en-GB"/>
              </w:rPr>
              <w:footnoteReference w:id="15"/>
            </w:r>
          </w:p>
        </w:tc>
        <w:tc>
          <w:tcPr>
            <w:tcW w:w="7655" w:type="dxa"/>
          </w:tcPr>
          <w:p w14:paraId="7F2E94C4" w14:textId="185A7946" w:rsidR="00C43A44" w:rsidRPr="00080145" w:rsidRDefault="00C43A44" w:rsidP="00F10EA3">
            <w:pPr>
              <w:rPr>
                <w:rFonts w:eastAsia="Times New Roman"/>
                <w:color w:val="auto"/>
                <w:sz w:val="20"/>
                <w:szCs w:val="20"/>
                <w:lang w:eastAsia="en-GB"/>
              </w:rPr>
            </w:pPr>
            <w:r w:rsidRPr="00080145">
              <w:rPr>
                <w:rFonts w:eastAsia="Times New Roman"/>
                <w:color w:val="auto"/>
                <w:sz w:val="20"/>
                <w:szCs w:val="20"/>
                <w:lang w:eastAsia="en-GB"/>
              </w:rPr>
              <w:t>This document sets out clearly the safeguarding roles, duties and responsibilities of all organ</w:t>
            </w:r>
            <w:r w:rsidR="0080006A" w:rsidRPr="00080145">
              <w:rPr>
                <w:rFonts w:eastAsia="Times New Roman"/>
                <w:color w:val="auto"/>
                <w:sz w:val="20"/>
                <w:szCs w:val="20"/>
                <w:lang w:eastAsia="en-GB"/>
              </w:rPr>
              <w:t>isa</w:t>
            </w:r>
            <w:r w:rsidRPr="00080145">
              <w:rPr>
                <w:rFonts w:eastAsia="Times New Roman"/>
                <w:color w:val="auto"/>
                <w:sz w:val="20"/>
                <w:szCs w:val="20"/>
                <w:lang w:eastAsia="en-GB"/>
              </w:rPr>
              <w:t xml:space="preserve">tions commissioning NHS healthcare. </w:t>
            </w:r>
          </w:p>
          <w:p w14:paraId="390E27C1" w14:textId="1D68DA51" w:rsidR="00C43A44" w:rsidRPr="00080145" w:rsidRDefault="00C43A44" w:rsidP="00F10EA3">
            <w:pPr>
              <w:rPr>
                <w:rFonts w:eastAsia="Times New Roman"/>
                <w:color w:val="auto"/>
                <w:sz w:val="20"/>
                <w:szCs w:val="20"/>
                <w:lang w:eastAsia="en-GB"/>
              </w:rPr>
            </w:pPr>
            <w:r w:rsidRPr="00080145">
              <w:rPr>
                <w:rFonts w:eastAsia="Times New Roman"/>
                <w:color w:val="auto"/>
                <w:sz w:val="20"/>
                <w:szCs w:val="20"/>
                <w:lang w:eastAsia="en-GB"/>
              </w:rPr>
              <w:t>It sets out safeguarding roles, duties and responsibilities of all organ</w:t>
            </w:r>
            <w:r w:rsidR="0080006A" w:rsidRPr="00080145">
              <w:rPr>
                <w:rFonts w:eastAsia="Times New Roman"/>
                <w:color w:val="auto"/>
                <w:sz w:val="20"/>
                <w:szCs w:val="20"/>
                <w:lang w:eastAsia="en-GB"/>
              </w:rPr>
              <w:t>isa</w:t>
            </w:r>
            <w:r w:rsidRPr="00080145">
              <w:rPr>
                <w:rFonts w:eastAsia="Times New Roman"/>
                <w:color w:val="auto"/>
                <w:sz w:val="20"/>
                <w:szCs w:val="20"/>
                <w:lang w:eastAsia="en-GB"/>
              </w:rPr>
              <w:t>tions commissioning NHS health and social care. The framework aims to:</w:t>
            </w:r>
          </w:p>
          <w:p w14:paraId="6F17D706" w14:textId="77777777" w:rsidR="00C43A44" w:rsidRPr="00080145" w:rsidRDefault="00C43A44" w:rsidP="00F10EA3">
            <w:pPr>
              <w:pStyle w:val="Bodybullets"/>
              <w:tabs>
                <w:tab w:val="clear" w:pos="454"/>
                <w:tab w:val="num" w:pos="320"/>
              </w:tabs>
              <w:ind w:left="320" w:hanging="284"/>
              <w:rPr>
                <w:color w:val="auto"/>
                <w:sz w:val="20"/>
                <w:szCs w:val="20"/>
                <w:lang w:val="en-GB"/>
              </w:rPr>
            </w:pPr>
            <w:r w:rsidRPr="00080145">
              <w:rPr>
                <w:color w:val="auto"/>
                <w:sz w:val="20"/>
                <w:szCs w:val="20"/>
                <w:lang w:val="en-GB"/>
              </w:rPr>
              <w:t>Identify and clarify how relationships between health and other systems work at both strategic and operational levels to safeguard children, young people and adults at risk of abuse or neglect.</w:t>
            </w:r>
          </w:p>
          <w:p w14:paraId="00A0FF10" w14:textId="0439DC18" w:rsidR="00C43A44" w:rsidRPr="00080145" w:rsidRDefault="00C43A44" w:rsidP="00F10EA3">
            <w:pPr>
              <w:pStyle w:val="Bodybullets"/>
              <w:tabs>
                <w:tab w:val="clear" w:pos="454"/>
                <w:tab w:val="num" w:pos="320"/>
              </w:tabs>
              <w:ind w:left="320" w:hanging="284"/>
              <w:rPr>
                <w:color w:val="auto"/>
                <w:sz w:val="20"/>
                <w:szCs w:val="20"/>
                <w:lang w:val="en-GB"/>
              </w:rPr>
            </w:pPr>
            <w:r w:rsidRPr="00080145">
              <w:rPr>
                <w:color w:val="auto"/>
                <w:sz w:val="20"/>
                <w:szCs w:val="20"/>
                <w:lang w:val="en-GB"/>
              </w:rPr>
              <w:t>Clearly set out the legal framework for safeguarding as it relates to the various NHS organ</w:t>
            </w:r>
            <w:r w:rsidR="0080006A" w:rsidRPr="00080145">
              <w:rPr>
                <w:color w:val="auto"/>
                <w:sz w:val="20"/>
                <w:szCs w:val="20"/>
                <w:lang w:val="en-GB"/>
              </w:rPr>
              <w:t>isa</w:t>
            </w:r>
            <w:r w:rsidRPr="00080145">
              <w:rPr>
                <w:color w:val="auto"/>
                <w:sz w:val="20"/>
                <w:szCs w:val="20"/>
                <w:lang w:val="en-GB"/>
              </w:rPr>
              <w:t>tions in order to support them in discharging their statutory requirements to safeguard children and adults.</w:t>
            </w:r>
          </w:p>
          <w:p w14:paraId="3B65C248" w14:textId="77777777" w:rsidR="00C43A44" w:rsidRPr="00080145" w:rsidRDefault="00C43A44" w:rsidP="00F10EA3">
            <w:pPr>
              <w:pStyle w:val="Bodybullets"/>
              <w:tabs>
                <w:tab w:val="clear" w:pos="454"/>
                <w:tab w:val="num" w:pos="320"/>
              </w:tabs>
              <w:ind w:left="320" w:hanging="284"/>
              <w:rPr>
                <w:color w:val="auto"/>
                <w:sz w:val="20"/>
                <w:szCs w:val="20"/>
                <w:lang w:val="en-GB"/>
              </w:rPr>
            </w:pPr>
            <w:r w:rsidRPr="00080145">
              <w:rPr>
                <w:color w:val="auto"/>
                <w:sz w:val="20"/>
                <w:szCs w:val="20"/>
                <w:lang w:val="en-GB"/>
              </w:rPr>
              <w:t>Promote empowerment and autonomy for adults, including those who lack capacity for a particular decision as embodied in the Mental Capacity Act 2005 (MCA), implementing an approach which appropriately balances this with safeguarding.</w:t>
            </w:r>
          </w:p>
          <w:p w14:paraId="49DB2A36" w14:textId="77777777" w:rsidR="00C43A44" w:rsidRPr="00080145" w:rsidRDefault="00C43A44" w:rsidP="00F10EA3">
            <w:pPr>
              <w:pStyle w:val="Bodybullets"/>
              <w:tabs>
                <w:tab w:val="clear" w:pos="454"/>
                <w:tab w:val="num" w:pos="320"/>
              </w:tabs>
              <w:ind w:left="320" w:hanging="284"/>
              <w:rPr>
                <w:color w:val="auto"/>
                <w:sz w:val="20"/>
                <w:szCs w:val="20"/>
                <w:lang w:val="en-GB"/>
              </w:rPr>
            </w:pPr>
            <w:r w:rsidRPr="00080145">
              <w:rPr>
                <w:color w:val="auto"/>
                <w:sz w:val="20"/>
                <w:szCs w:val="20"/>
                <w:lang w:val="en-GB"/>
              </w:rPr>
              <w:t>Outline principles, attitudes, expectations and ways of working that recognise that safeguarding is everybody’s business and that the safety and well-being of those in vulnerable circumstances is at the forefront of our business.</w:t>
            </w:r>
          </w:p>
          <w:p w14:paraId="77EF27B0" w14:textId="77777777" w:rsidR="00C43A44" w:rsidRPr="00080145" w:rsidRDefault="00C43A44" w:rsidP="00F10EA3">
            <w:pPr>
              <w:pStyle w:val="Bodybullets"/>
              <w:tabs>
                <w:tab w:val="clear" w:pos="454"/>
                <w:tab w:val="num" w:pos="320"/>
              </w:tabs>
              <w:ind w:left="320" w:hanging="284"/>
              <w:rPr>
                <w:color w:val="auto"/>
                <w:sz w:val="20"/>
                <w:szCs w:val="20"/>
                <w:lang w:val="en-GB"/>
              </w:rPr>
            </w:pPr>
            <w:r w:rsidRPr="00080145">
              <w:rPr>
                <w:color w:val="auto"/>
                <w:sz w:val="20"/>
                <w:szCs w:val="20"/>
                <w:lang w:val="en-GB"/>
              </w:rPr>
              <w:t>Set out how the health system operates, how it will be held to account both locally and nationally and make clear the arrangements and processes to be undertaken to provide assurance to the NHS England Board with regard to the effectiveness of safeguarding arrangements across the system; and</w:t>
            </w:r>
          </w:p>
          <w:p w14:paraId="54D46119" w14:textId="77777777" w:rsidR="00C43A44" w:rsidRPr="00080145" w:rsidRDefault="00C43A44" w:rsidP="00F10EA3">
            <w:pPr>
              <w:pStyle w:val="Bodybullets"/>
              <w:tabs>
                <w:tab w:val="clear" w:pos="454"/>
                <w:tab w:val="num" w:pos="320"/>
              </w:tabs>
              <w:ind w:left="320" w:hanging="284"/>
              <w:rPr>
                <w:color w:val="auto"/>
                <w:sz w:val="20"/>
                <w:szCs w:val="20"/>
                <w:lang w:val="en-GB" w:eastAsia="en-GB"/>
              </w:rPr>
            </w:pPr>
            <w:r w:rsidRPr="00080145">
              <w:rPr>
                <w:color w:val="auto"/>
                <w:sz w:val="20"/>
                <w:szCs w:val="20"/>
                <w:lang w:val="en-GB"/>
              </w:rPr>
              <w:t>Outline how professional leadership and expertise will be developed and retained in the NHS, including the key role of Designated and Named Professionals for Safeguarding Children and Designated Adult Safeguarding Managers</w:t>
            </w:r>
          </w:p>
          <w:p w14:paraId="2CD2957B" w14:textId="6438DC56" w:rsidR="00326DF5" w:rsidRPr="00080145" w:rsidRDefault="00326DF5" w:rsidP="00326DF5">
            <w:pPr>
              <w:pStyle w:val="Bodybullets"/>
              <w:numPr>
                <w:ilvl w:val="0"/>
                <w:numId w:val="0"/>
              </w:numPr>
              <w:ind w:left="36"/>
              <w:rPr>
                <w:color w:val="auto"/>
                <w:sz w:val="20"/>
                <w:szCs w:val="20"/>
                <w:lang w:val="en-GB" w:eastAsia="en-GB"/>
              </w:rPr>
            </w:pPr>
            <w:r w:rsidRPr="00080145">
              <w:rPr>
                <w:rFonts w:eastAsia="Times New Roman"/>
                <w:color w:val="auto"/>
                <w:sz w:val="20"/>
                <w:szCs w:val="20"/>
                <w:lang w:val="en-GB" w:eastAsia="en-GB"/>
              </w:rPr>
              <w:t>This provides the policy document required for the safeguarding purposes under Schedule 1 Part 2, para 18 of the DPA for the NHS bodies,</w:t>
            </w:r>
          </w:p>
        </w:tc>
      </w:tr>
    </w:tbl>
    <w:p w14:paraId="431AD6DD" w14:textId="05208CBB" w:rsidR="00C43A44" w:rsidRPr="00080145" w:rsidRDefault="00C43A44" w:rsidP="00C43A44">
      <w:pPr>
        <w:pStyle w:val="ChapterheaderBase"/>
        <w:numPr>
          <w:ilvl w:val="0"/>
          <w:numId w:val="0"/>
        </w:numPr>
        <w:rPr>
          <w:color w:val="auto"/>
        </w:rPr>
      </w:pPr>
    </w:p>
    <w:p w14:paraId="5672153E" w14:textId="77777777" w:rsidR="00C43A44" w:rsidRPr="00080145" w:rsidRDefault="00C43A44" w:rsidP="00C43A44">
      <w:pPr>
        <w:pStyle w:val="Body"/>
        <w:rPr>
          <w:rFonts w:ascii="Segoe UI" w:hAnsi="Segoe UI" w:cs="Segoe UI"/>
          <w:color w:val="auto"/>
          <w:sz w:val="20"/>
          <w:lang w:val="en-GB" w:eastAsia="en-GB"/>
        </w:rPr>
      </w:pPr>
      <w:r w:rsidRPr="00080145">
        <w:rPr>
          <w:rFonts w:ascii="Segoe UI" w:hAnsi="Segoe UI" w:cs="Segoe UI"/>
          <w:color w:val="auto"/>
          <w:sz w:val="20"/>
          <w:lang w:val="en-GB" w:eastAsia="en-GB"/>
        </w:rPr>
        <w:t>Other legislation that may be relevant when sharing information includes:</w:t>
      </w:r>
    </w:p>
    <w:p w14:paraId="71A5D877" w14:textId="77777777" w:rsidR="00C43A44" w:rsidRPr="00080145" w:rsidRDefault="00C43A44" w:rsidP="00C43A44">
      <w:pPr>
        <w:pStyle w:val="Bodybullets"/>
        <w:tabs>
          <w:tab w:val="clear" w:pos="454"/>
          <w:tab w:val="num" w:pos="170"/>
        </w:tabs>
        <w:ind w:left="170"/>
        <w:rPr>
          <w:rFonts w:ascii="Segoe UI" w:hAnsi="Segoe UI" w:cs="Segoe UI"/>
          <w:color w:val="auto"/>
          <w:sz w:val="20"/>
          <w:lang w:val="en-GB"/>
        </w:rPr>
      </w:pPr>
      <w:r w:rsidRPr="00080145">
        <w:rPr>
          <w:rFonts w:ascii="Segoe UI" w:hAnsi="Segoe UI" w:cs="Segoe UI"/>
          <w:color w:val="auto"/>
          <w:sz w:val="20"/>
          <w:lang w:val="en-GB"/>
        </w:rPr>
        <w:lastRenderedPageBreak/>
        <w:t>Learning and Skills Act 2000</w:t>
      </w:r>
    </w:p>
    <w:p w14:paraId="026E517C" w14:textId="77777777" w:rsidR="00C43A44" w:rsidRPr="00080145" w:rsidRDefault="00C43A44" w:rsidP="00C43A44">
      <w:pPr>
        <w:pStyle w:val="Bodybullets"/>
        <w:tabs>
          <w:tab w:val="clear" w:pos="454"/>
          <w:tab w:val="num" w:pos="170"/>
        </w:tabs>
        <w:ind w:left="170"/>
        <w:rPr>
          <w:rFonts w:ascii="Segoe UI" w:hAnsi="Segoe UI" w:cs="Segoe UI"/>
          <w:color w:val="auto"/>
          <w:sz w:val="20"/>
          <w:lang w:val="en-GB"/>
        </w:rPr>
      </w:pPr>
      <w:r w:rsidRPr="00080145">
        <w:rPr>
          <w:rFonts w:ascii="Segoe UI" w:hAnsi="Segoe UI" w:cs="Segoe UI"/>
          <w:color w:val="auto"/>
          <w:sz w:val="20"/>
          <w:lang w:val="en-GB"/>
        </w:rPr>
        <w:t>Education (SEN) Regulations 2001</w:t>
      </w:r>
    </w:p>
    <w:p w14:paraId="5D38A616" w14:textId="77777777" w:rsidR="00C43A44" w:rsidRPr="00080145" w:rsidRDefault="00C43A44" w:rsidP="00C43A44">
      <w:pPr>
        <w:pStyle w:val="Bodybullets"/>
        <w:tabs>
          <w:tab w:val="clear" w:pos="454"/>
          <w:tab w:val="num" w:pos="170"/>
        </w:tabs>
        <w:ind w:left="170"/>
        <w:rPr>
          <w:rFonts w:ascii="Segoe UI" w:hAnsi="Segoe UI" w:cs="Segoe UI"/>
          <w:color w:val="auto"/>
          <w:sz w:val="20"/>
          <w:lang w:val="en-GB"/>
        </w:rPr>
      </w:pPr>
      <w:r w:rsidRPr="00080145">
        <w:rPr>
          <w:rFonts w:ascii="Segoe UI" w:hAnsi="Segoe UI" w:cs="Segoe UI"/>
          <w:color w:val="auto"/>
          <w:sz w:val="20"/>
          <w:lang w:val="en-GB"/>
        </w:rPr>
        <w:t>Children (Leaving Care) Act 2000</w:t>
      </w:r>
    </w:p>
    <w:p w14:paraId="614881FE" w14:textId="77777777" w:rsidR="00C43A44" w:rsidRPr="00080145" w:rsidRDefault="00C43A44" w:rsidP="00C43A44">
      <w:pPr>
        <w:pStyle w:val="Bodybullets"/>
        <w:tabs>
          <w:tab w:val="clear" w:pos="454"/>
          <w:tab w:val="num" w:pos="170"/>
        </w:tabs>
        <w:ind w:left="170"/>
        <w:rPr>
          <w:rFonts w:ascii="Segoe UI" w:hAnsi="Segoe UI" w:cs="Segoe UI"/>
          <w:color w:val="auto"/>
          <w:sz w:val="20"/>
          <w:lang w:val="en-GB"/>
        </w:rPr>
      </w:pPr>
      <w:r w:rsidRPr="00080145">
        <w:rPr>
          <w:rFonts w:ascii="Segoe UI" w:hAnsi="Segoe UI" w:cs="Segoe UI"/>
          <w:color w:val="auto"/>
          <w:sz w:val="20"/>
          <w:lang w:val="en-GB"/>
        </w:rPr>
        <w:t>Immigration and Asylum Act 1999</w:t>
      </w:r>
    </w:p>
    <w:p w14:paraId="35AFE29D" w14:textId="77777777" w:rsidR="00C43A44" w:rsidRPr="00080145" w:rsidRDefault="00C43A44" w:rsidP="00C43A44">
      <w:pPr>
        <w:pStyle w:val="Bodybullets"/>
        <w:tabs>
          <w:tab w:val="clear" w:pos="454"/>
          <w:tab w:val="num" w:pos="170"/>
        </w:tabs>
        <w:ind w:left="170"/>
        <w:rPr>
          <w:rFonts w:ascii="Segoe UI" w:hAnsi="Segoe UI" w:cs="Segoe UI"/>
          <w:color w:val="auto"/>
          <w:sz w:val="20"/>
          <w:lang w:val="en-GB"/>
        </w:rPr>
      </w:pPr>
      <w:r w:rsidRPr="00080145">
        <w:rPr>
          <w:rFonts w:ascii="Segoe UI" w:hAnsi="Segoe UI" w:cs="Segoe UI"/>
          <w:color w:val="auto"/>
          <w:sz w:val="20"/>
          <w:lang w:val="en-GB"/>
        </w:rPr>
        <w:t>National Health Service Act 1977</w:t>
      </w:r>
    </w:p>
    <w:p w14:paraId="379565BF" w14:textId="77777777" w:rsidR="00C43A44" w:rsidRPr="00080145" w:rsidRDefault="00C43A44" w:rsidP="00C43A44">
      <w:pPr>
        <w:pStyle w:val="Bodybullets"/>
        <w:tabs>
          <w:tab w:val="clear" w:pos="454"/>
          <w:tab w:val="num" w:pos="170"/>
        </w:tabs>
        <w:ind w:left="170"/>
        <w:rPr>
          <w:rFonts w:ascii="Segoe UI" w:hAnsi="Segoe UI" w:cs="Segoe UI"/>
          <w:color w:val="auto"/>
          <w:sz w:val="20"/>
          <w:lang w:val="en-GB"/>
        </w:rPr>
      </w:pPr>
      <w:r w:rsidRPr="00080145">
        <w:rPr>
          <w:rFonts w:ascii="Segoe UI" w:hAnsi="Segoe UI" w:cs="Segoe UI"/>
          <w:color w:val="auto"/>
          <w:sz w:val="20"/>
          <w:lang w:val="en-GB"/>
        </w:rPr>
        <w:t>National Health Service Act 2006</w:t>
      </w:r>
    </w:p>
    <w:p w14:paraId="796D1983" w14:textId="77777777" w:rsidR="00C43A44" w:rsidRPr="00080145" w:rsidRDefault="00C43A44" w:rsidP="00C43A44">
      <w:pPr>
        <w:pStyle w:val="Bodybullets"/>
        <w:tabs>
          <w:tab w:val="clear" w:pos="454"/>
          <w:tab w:val="num" w:pos="170"/>
        </w:tabs>
        <w:ind w:left="170"/>
        <w:rPr>
          <w:rFonts w:ascii="Segoe UI" w:hAnsi="Segoe UI" w:cs="Segoe UI"/>
          <w:color w:val="auto"/>
          <w:sz w:val="20"/>
          <w:lang w:val="en-GB"/>
        </w:rPr>
      </w:pPr>
      <w:r w:rsidRPr="00080145">
        <w:rPr>
          <w:rFonts w:ascii="Segoe UI" w:hAnsi="Segoe UI" w:cs="Segoe UI"/>
          <w:color w:val="auto"/>
          <w:sz w:val="20"/>
          <w:lang w:val="en-GB"/>
        </w:rPr>
        <w:t>The Adoption and Children Act 2002</w:t>
      </w:r>
    </w:p>
    <w:p w14:paraId="6978C194" w14:textId="77777777" w:rsidR="00C43A44" w:rsidRPr="00080145" w:rsidRDefault="00C43A44" w:rsidP="00C43A44">
      <w:pPr>
        <w:pStyle w:val="Bodybullets"/>
        <w:tabs>
          <w:tab w:val="clear" w:pos="454"/>
          <w:tab w:val="num" w:pos="170"/>
        </w:tabs>
        <w:ind w:left="170"/>
        <w:rPr>
          <w:rFonts w:ascii="Segoe UI" w:hAnsi="Segoe UI" w:cs="Segoe UI"/>
          <w:color w:val="auto"/>
          <w:sz w:val="20"/>
          <w:lang w:val="en-GB"/>
        </w:rPr>
      </w:pPr>
      <w:r w:rsidRPr="00080145">
        <w:rPr>
          <w:rFonts w:ascii="Segoe UI" w:hAnsi="Segoe UI" w:cs="Segoe UI"/>
          <w:color w:val="auto"/>
          <w:sz w:val="20"/>
          <w:lang w:val="en-GB"/>
        </w:rPr>
        <w:t>The Localism Act 2011</w:t>
      </w:r>
    </w:p>
    <w:p w14:paraId="58A748DE" w14:textId="77777777" w:rsidR="00C43A44" w:rsidRPr="00080145" w:rsidRDefault="00C43A44" w:rsidP="00C43A44">
      <w:pPr>
        <w:pStyle w:val="Bodybullets"/>
        <w:tabs>
          <w:tab w:val="clear" w:pos="454"/>
          <w:tab w:val="num" w:pos="170"/>
        </w:tabs>
        <w:ind w:left="170"/>
        <w:rPr>
          <w:rFonts w:ascii="Segoe UI" w:hAnsi="Segoe UI" w:cs="Segoe UI"/>
          <w:color w:val="auto"/>
          <w:sz w:val="20"/>
          <w:lang w:val="en-GB"/>
        </w:rPr>
      </w:pPr>
      <w:r w:rsidRPr="00080145">
        <w:rPr>
          <w:rFonts w:ascii="Segoe UI" w:hAnsi="Segoe UI" w:cs="Segoe UI"/>
          <w:color w:val="auto"/>
          <w:sz w:val="20"/>
          <w:lang w:val="en-GB"/>
        </w:rPr>
        <w:t>Welfare Reform Act 2012</w:t>
      </w:r>
    </w:p>
    <w:p w14:paraId="4CC3A67E" w14:textId="77777777" w:rsidR="00C43A44" w:rsidRPr="00080145" w:rsidRDefault="00C43A44" w:rsidP="00C43A44">
      <w:pPr>
        <w:pStyle w:val="ChapterheaderBase"/>
        <w:numPr>
          <w:ilvl w:val="0"/>
          <w:numId w:val="0"/>
        </w:numPr>
        <w:rPr>
          <w:color w:val="auto"/>
        </w:rPr>
      </w:pPr>
    </w:p>
    <w:p w14:paraId="790D9246" w14:textId="36DA9BE5" w:rsidR="00817198" w:rsidRPr="00080145" w:rsidRDefault="00817198">
      <w:pPr>
        <w:spacing w:before="0" w:after="0" w:line="240" w:lineRule="auto"/>
        <w:rPr>
          <w:color w:val="auto"/>
          <w:lang w:eastAsia="en-GB"/>
        </w:rPr>
      </w:pPr>
      <w:r w:rsidRPr="00080145">
        <w:rPr>
          <w:color w:val="auto"/>
          <w:lang w:eastAsia="en-GB"/>
        </w:rPr>
        <w:br w:type="page"/>
      </w:r>
    </w:p>
    <w:p w14:paraId="3131714F" w14:textId="5166941F" w:rsidR="006C7958" w:rsidRPr="00080145" w:rsidRDefault="00817198" w:rsidP="007F1426">
      <w:pPr>
        <w:pStyle w:val="Heading1"/>
      </w:pPr>
      <w:bookmarkStart w:id="72" w:name="_Ref55557551"/>
      <w:bookmarkStart w:id="73" w:name="_Toc59206210"/>
      <w:r w:rsidRPr="00080145">
        <w:lastRenderedPageBreak/>
        <w:t>Appendix D: Inform</w:t>
      </w:r>
      <w:r w:rsidR="008A145A" w:rsidRPr="00080145">
        <w:t>ation Sharing Checklist</w:t>
      </w:r>
      <w:bookmarkEnd w:id="72"/>
      <w:bookmarkEnd w:id="73"/>
    </w:p>
    <w:p w14:paraId="1F675549" w14:textId="27CEFC1E" w:rsidR="008A145A" w:rsidRPr="00080145" w:rsidRDefault="008A145A" w:rsidP="00A97AA9">
      <w:pPr>
        <w:pStyle w:val="Body"/>
        <w:rPr>
          <w:color w:val="auto"/>
          <w:lang w:val="en-GB" w:eastAsia="en-GB"/>
        </w:rPr>
      </w:pPr>
    </w:p>
    <w:p w14:paraId="4AAACBB6" w14:textId="17C7F43D" w:rsidR="00817198" w:rsidRPr="00080145" w:rsidRDefault="00817198" w:rsidP="00A97AA9">
      <w:pPr>
        <w:pStyle w:val="Body"/>
        <w:rPr>
          <w:color w:val="auto"/>
          <w:lang w:val="en-GB" w:eastAsia="en-GB"/>
        </w:rPr>
      </w:pPr>
      <w:r w:rsidRPr="00080145">
        <w:rPr>
          <w:color w:val="auto"/>
          <w:lang w:val="en-GB" w:eastAsia="en-GB"/>
        </w:rPr>
        <w:t>The following questions must be considered when deciding whether to share information.</w:t>
      </w:r>
    </w:p>
    <w:p w14:paraId="6CF184A0" w14:textId="77777777" w:rsidR="00817198" w:rsidRPr="00080145" w:rsidRDefault="00817198" w:rsidP="00A97AA9">
      <w:pPr>
        <w:pStyle w:val="Body"/>
        <w:rPr>
          <w:color w:val="auto"/>
          <w:lang w:val="en-GB" w:eastAsia="en-GB"/>
        </w:rPr>
      </w:pPr>
    </w:p>
    <w:p w14:paraId="2D4571E1" w14:textId="77777777" w:rsidR="008A145A" w:rsidRPr="00080145" w:rsidRDefault="008A145A" w:rsidP="00817198">
      <w:pPr>
        <w:pStyle w:val="Bodybullets"/>
        <w:tabs>
          <w:tab w:val="clear" w:pos="454"/>
        </w:tabs>
        <w:ind w:left="567" w:hanging="283"/>
        <w:rPr>
          <w:color w:val="auto"/>
          <w:lang w:val="en-GB"/>
        </w:rPr>
      </w:pPr>
      <w:r w:rsidRPr="00080145">
        <w:rPr>
          <w:color w:val="auto"/>
          <w:lang w:val="en-GB"/>
        </w:rPr>
        <w:t xml:space="preserve">Whose information is this? </w:t>
      </w:r>
    </w:p>
    <w:p w14:paraId="5C2E81E1" w14:textId="77777777" w:rsidR="008A145A" w:rsidRPr="00080145" w:rsidRDefault="008A145A" w:rsidP="00817198">
      <w:pPr>
        <w:pStyle w:val="Bodybullets"/>
        <w:tabs>
          <w:tab w:val="clear" w:pos="454"/>
        </w:tabs>
        <w:ind w:left="567" w:hanging="283"/>
        <w:rPr>
          <w:color w:val="auto"/>
          <w:lang w:val="en-GB"/>
        </w:rPr>
      </w:pPr>
      <w:r w:rsidRPr="00080145">
        <w:rPr>
          <w:color w:val="auto"/>
          <w:lang w:val="en-GB"/>
        </w:rPr>
        <w:t>Is there a lawful basis to share the information? Justify the purpose and identify relevant legislation that applies.</w:t>
      </w:r>
    </w:p>
    <w:p w14:paraId="7F3976F7" w14:textId="77777777" w:rsidR="008A145A" w:rsidRPr="00080145" w:rsidRDefault="008A145A" w:rsidP="00817198">
      <w:pPr>
        <w:pStyle w:val="Bodybullets"/>
        <w:tabs>
          <w:tab w:val="clear" w:pos="454"/>
        </w:tabs>
        <w:ind w:left="567" w:hanging="283"/>
        <w:rPr>
          <w:color w:val="auto"/>
          <w:lang w:val="en-GB"/>
        </w:rPr>
      </w:pPr>
      <w:r w:rsidRPr="00080145">
        <w:rPr>
          <w:color w:val="auto"/>
          <w:lang w:val="en-GB"/>
        </w:rPr>
        <w:t>Can information be pseudonymised or anonymised ahead of sharing?</w:t>
      </w:r>
    </w:p>
    <w:p w14:paraId="5A95E6F4" w14:textId="77777777" w:rsidR="008A145A" w:rsidRPr="00080145" w:rsidRDefault="008A145A" w:rsidP="00817198">
      <w:pPr>
        <w:pStyle w:val="Bodybullets"/>
        <w:tabs>
          <w:tab w:val="clear" w:pos="454"/>
        </w:tabs>
        <w:ind w:left="567" w:hanging="283"/>
        <w:rPr>
          <w:color w:val="auto"/>
          <w:lang w:val="en-GB"/>
        </w:rPr>
      </w:pPr>
      <w:r w:rsidRPr="00080145">
        <w:rPr>
          <w:color w:val="auto"/>
          <w:lang w:val="en-GB"/>
        </w:rPr>
        <w:t>How have individuals been informed that the information will be shared eg via a privacy notice? Will they have the expectation that their information will be shared? Consider whether notifying the individual of the sharing may place someone at risk or prejudice a police or safeguarding investigation.</w:t>
      </w:r>
    </w:p>
    <w:p w14:paraId="43C9F6FB" w14:textId="77777777" w:rsidR="008A145A" w:rsidRPr="00080145" w:rsidRDefault="008A145A" w:rsidP="00817198">
      <w:pPr>
        <w:pStyle w:val="Bodybullets"/>
        <w:tabs>
          <w:tab w:val="clear" w:pos="454"/>
        </w:tabs>
        <w:ind w:left="567" w:hanging="283"/>
        <w:rPr>
          <w:color w:val="auto"/>
          <w:lang w:val="en-GB"/>
        </w:rPr>
      </w:pPr>
      <w:r w:rsidRPr="00080145">
        <w:rPr>
          <w:color w:val="auto"/>
          <w:lang w:val="en-GB"/>
        </w:rPr>
        <w:t>Have any requests not to share been received and considered?</w:t>
      </w:r>
    </w:p>
    <w:p w14:paraId="3614DAF1" w14:textId="77777777" w:rsidR="008A145A" w:rsidRPr="00080145" w:rsidRDefault="008A145A" w:rsidP="00817198">
      <w:pPr>
        <w:pStyle w:val="Bodybullets"/>
        <w:tabs>
          <w:tab w:val="clear" w:pos="454"/>
        </w:tabs>
        <w:ind w:left="567" w:hanging="283"/>
        <w:rPr>
          <w:color w:val="auto"/>
          <w:lang w:val="en-GB"/>
        </w:rPr>
      </w:pPr>
      <w:r w:rsidRPr="00080145">
        <w:rPr>
          <w:color w:val="auto"/>
          <w:lang w:val="en-GB"/>
        </w:rPr>
        <w:t xml:space="preserve">How much information is it necessary to share in this situation? </w:t>
      </w:r>
    </w:p>
    <w:p w14:paraId="59202EA2" w14:textId="77777777" w:rsidR="008A145A" w:rsidRPr="00080145" w:rsidRDefault="008A145A" w:rsidP="00817198">
      <w:pPr>
        <w:pStyle w:val="Bodybullets"/>
        <w:tabs>
          <w:tab w:val="clear" w:pos="454"/>
        </w:tabs>
        <w:ind w:left="567" w:hanging="283"/>
        <w:rPr>
          <w:color w:val="auto"/>
          <w:lang w:val="en-GB"/>
        </w:rPr>
      </w:pPr>
      <w:r w:rsidRPr="00080145">
        <w:rPr>
          <w:color w:val="auto"/>
          <w:lang w:val="en-GB"/>
        </w:rPr>
        <w:t xml:space="preserve">Is the information accurate and up to date? Has the difference between fact and opinion been stated? </w:t>
      </w:r>
    </w:p>
    <w:p w14:paraId="42A9E9F3" w14:textId="77777777" w:rsidR="008A145A" w:rsidRPr="00080145" w:rsidRDefault="008A145A" w:rsidP="00817198">
      <w:pPr>
        <w:pStyle w:val="Bodybullets"/>
        <w:tabs>
          <w:tab w:val="clear" w:pos="454"/>
        </w:tabs>
        <w:ind w:left="567" w:hanging="283"/>
        <w:rPr>
          <w:color w:val="auto"/>
          <w:lang w:val="en-GB"/>
        </w:rPr>
      </w:pPr>
      <w:r w:rsidRPr="00080145">
        <w:rPr>
          <w:color w:val="auto"/>
          <w:lang w:val="en-GB"/>
        </w:rPr>
        <w:t xml:space="preserve">Is access to the information limited to only those who need it? Is it being given to the right person? </w:t>
      </w:r>
    </w:p>
    <w:p w14:paraId="0B80D4BD" w14:textId="77777777" w:rsidR="008A145A" w:rsidRPr="00080145" w:rsidRDefault="008A145A" w:rsidP="00817198">
      <w:pPr>
        <w:pStyle w:val="Bodybullets"/>
        <w:tabs>
          <w:tab w:val="clear" w:pos="454"/>
        </w:tabs>
        <w:ind w:left="567" w:hanging="283"/>
        <w:rPr>
          <w:color w:val="auto"/>
          <w:lang w:val="en-GB"/>
        </w:rPr>
      </w:pPr>
      <w:r w:rsidRPr="00080145">
        <w:rPr>
          <w:color w:val="auto"/>
          <w:lang w:val="en-GB"/>
        </w:rPr>
        <w:t xml:space="preserve">Is the information being shared in a secure way? </w:t>
      </w:r>
    </w:p>
    <w:p w14:paraId="0FCECA1E" w14:textId="72D8F86F" w:rsidR="00E268DF" w:rsidRDefault="008A145A" w:rsidP="00A97AA9">
      <w:pPr>
        <w:pStyle w:val="Bodybullets"/>
        <w:tabs>
          <w:tab w:val="clear" w:pos="454"/>
        </w:tabs>
        <w:ind w:left="567" w:hanging="283"/>
        <w:rPr>
          <w:color w:val="auto"/>
          <w:lang w:val="en-GB"/>
        </w:rPr>
      </w:pPr>
      <w:r w:rsidRPr="00080145">
        <w:rPr>
          <w:color w:val="auto"/>
          <w:lang w:val="en-GB"/>
        </w:rPr>
        <w:t>Has the decision to share or not share</w:t>
      </w:r>
      <w:r w:rsidR="003177E1">
        <w:rPr>
          <w:color w:val="auto"/>
          <w:lang w:val="en-GB"/>
        </w:rPr>
        <w:t>,</w:t>
      </w:r>
      <w:r w:rsidRPr="00080145">
        <w:rPr>
          <w:color w:val="auto"/>
          <w:lang w:val="en-GB"/>
        </w:rPr>
        <w:t xml:space="preserve"> </w:t>
      </w:r>
      <w:r w:rsidR="00AA1452">
        <w:rPr>
          <w:color w:val="auto"/>
          <w:lang w:val="en-GB"/>
        </w:rPr>
        <w:t xml:space="preserve">and the rationale </w:t>
      </w:r>
      <w:r w:rsidR="003177E1">
        <w:rPr>
          <w:color w:val="auto"/>
          <w:lang w:val="en-GB"/>
        </w:rPr>
        <w:t xml:space="preserve">for the decision, </w:t>
      </w:r>
      <w:bookmarkStart w:id="74" w:name="_GoBack"/>
      <w:bookmarkEnd w:id="74"/>
      <w:r w:rsidRPr="00080145">
        <w:rPr>
          <w:color w:val="auto"/>
          <w:lang w:val="en-GB"/>
        </w:rPr>
        <w:t>been recorded?</w:t>
      </w:r>
    </w:p>
    <w:p w14:paraId="72936E21" w14:textId="77777777" w:rsidR="00CF79A3" w:rsidRPr="00080145" w:rsidRDefault="00CF79A3" w:rsidP="00AA1452">
      <w:pPr>
        <w:pStyle w:val="Bodybullets"/>
        <w:numPr>
          <w:ilvl w:val="0"/>
          <w:numId w:val="0"/>
        </w:numPr>
        <w:ind w:left="567"/>
        <w:rPr>
          <w:color w:val="auto"/>
          <w:lang w:val="en-GB"/>
        </w:rPr>
      </w:pPr>
    </w:p>
    <w:sectPr w:rsidR="00CF79A3" w:rsidRPr="00080145" w:rsidSect="006C1607">
      <w:pgSz w:w="11900" w:h="16820"/>
      <w:pgMar w:top="1418" w:right="851" w:bottom="1418" w:left="851" w:header="567" w:footer="48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06315" w14:textId="77777777" w:rsidR="001B451C" w:rsidRDefault="001B451C" w:rsidP="008C3440">
      <w:r>
        <w:separator/>
      </w:r>
    </w:p>
    <w:p w14:paraId="74D61722" w14:textId="77777777" w:rsidR="001B451C" w:rsidRDefault="001B451C" w:rsidP="008C3440"/>
    <w:p w14:paraId="544272E1" w14:textId="77777777" w:rsidR="001B451C" w:rsidRDefault="001B451C" w:rsidP="008C3440"/>
  </w:endnote>
  <w:endnote w:type="continuationSeparator" w:id="0">
    <w:p w14:paraId="29CF2418" w14:textId="77777777" w:rsidR="001B451C" w:rsidRDefault="001B451C" w:rsidP="008C3440">
      <w:r>
        <w:continuationSeparator/>
      </w:r>
    </w:p>
    <w:p w14:paraId="0AA86F55" w14:textId="77777777" w:rsidR="001B451C" w:rsidRDefault="001B451C" w:rsidP="008C3440"/>
    <w:p w14:paraId="7AC3D5B5" w14:textId="77777777" w:rsidR="001B451C" w:rsidRDefault="001B451C" w:rsidP="008C3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Schoolbook">
    <w:altName w:val="Century Schoolboo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enturySchoolbook-Bold">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D1B9F" w14:textId="77777777" w:rsidR="001B451C" w:rsidRDefault="001B4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3991704"/>
      <w:docPartObj>
        <w:docPartGallery w:val="Page Numbers (Bottom of Page)"/>
        <w:docPartUnique/>
      </w:docPartObj>
    </w:sdtPr>
    <w:sdtEndPr>
      <w:rPr>
        <w:noProof/>
      </w:rPr>
    </w:sdtEndPr>
    <w:sdtContent>
      <w:p w14:paraId="7E57F1F1" w14:textId="16C950B4" w:rsidR="001B451C" w:rsidRDefault="001B451C">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558C8AC1" w14:textId="77777777" w:rsidR="001B451C" w:rsidRDefault="001B45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48609" w14:textId="77777777" w:rsidR="001B451C" w:rsidRDefault="001B4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49847" w14:textId="77777777" w:rsidR="001B451C" w:rsidRDefault="001B451C" w:rsidP="008C3440">
      <w:r>
        <w:separator/>
      </w:r>
    </w:p>
    <w:p w14:paraId="683291AA" w14:textId="77777777" w:rsidR="001B451C" w:rsidRDefault="001B451C" w:rsidP="008C3440"/>
    <w:p w14:paraId="770B1799" w14:textId="77777777" w:rsidR="001B451C" w:rsidRDefault="001B451C" w:rsidP="008C3440"/>
  </w:footnote>
  <w:footnote w:type="continuationSeparator" w:id="0">
    <w:p w14:paraId="1DF36EBC" w14:textId="77777777" w:rsidR="001B451C" w:rsidRDefault="001B451C" w:rsidP="008C3440">
      <w:r>
        <w:continuationSeparator/>
      </w:r>
    </w:p>
    <w:p w14:paraId="1EEBF159" w14:textId="77777777" w:rsidR="001B451C" w:rsidRDefault="001B451C" w:rsidP="008C3440"/>
    <w:p w14:paraId="5C96AF02" w14:textId="77777777" w:rsidR="001B451C" w:rsidRDefault="001B451C" w:rsidP="008C3440"/>
  </w:footnote>
  <w:footnote w:id="1">
    <w:p w14:paraId="6DB154EB" w14:textId="5920C6DF" w:rsidR="001B451C" w:rsidRPr="00465776" w:rsidRDefault="001B451C" w:rsidP="00C43A44">
      <w:pPr>
        <w:pStyle w:val="FootnoteText"/>
        <w:rPr>
          <w:sz w:val="16"/>
        </w:rPr>
      </w:pPr>
      <w:r>
        <w:rPr>
          <w:rStyle w:val="FootnoteReference"/>
        </w:rPr>
        <w:footnoteRef/>
      </w:r>
      <w:r>
        <w:t xml:space="preserve"> </w:t>
      </w:r>
      <w:r w:rsidR="007952BB" w:rsidRPr="007952BB">
        <w:rPr>
          <w:sz w:val="16"/>
        </w:rPr>
        <w:t>https://www.legislation.gov.uk/ukpga/1983/20/contents</w:t>
      </w:r>
    </w:p>
  </w:footnote>
  <w:footnote w:id="2">
    <w:p w14:paraId="661BED98" w14:textId="457021D4" w:rsidR="00D32091" w:rsidRDefault="00D32091">
      <w:pPr>
        <w:pStyle w:val="FootnoteText"/>
      </w:pPr>
      <w:r>
        <w:rPr>
          <w:rStyle w:val="FootnoteReference"/>
        </w:rPr>
        <w:footnoteRef/>
      </w:r>
      <w:r>
        <w:t xml:space="preserve"> </w:t>
      </w:r>
      <w:r w:rsidRPr="00465776">
        <w:rPr>
          <w:sz w:val="16"/>
        </w:rPr>
        <w:t>https://assets.publishing.service.gov.uk/government/uploads/system/uploads/attachment_data/file/435512/MHA_Code_of_Practice.</w:t>
      </w:r>
    </w:p>
  </w:footnote>
  <w:footnote w:id="3">
    <w:p w14:paraId="4713B92D" w14:textId="77777777" w:rsidR="001B451C" w:rsidRPr="00465776" w:rsidRDefault="001B451C" w:rsidP="00C43A44">
      <w:pPr>
        <w:pStyle w:val="FootnoteText"/>
        <w:rPr>
          <w:sz w:val="16"/>
        </w:rPr>
      </w:pPr>
      <w:r>
        <w:rPr>
          <w:rStyle w:val="FootnoteReference"/>
        </w:rPr>
        <w:footnoteRef/>
      </w:r>
      <w:r>
        <w:t xml:space="preserve"> </w:t>
      </w:r>
      <w:r w:rsidRPr="00F70895">
        <w:rPr>
          <w:sz w:val="16"/>
        </w:rPr>
        <w:t>https://www.legislation.gov.uk/ukpga/1990/23/contents</w:t>
      </w:r>
    </w:p>
  </w:footnote>
  <w:footnote w:id="4">
    <w:p w14:paraId="5AB3CC49" w14:textId="77777777" w:rsidR="001B451C" w:rsidRPr="00465776" w:rsidRDefault="001B451C" w:rsidP="00C43A44">
      <w:pPr>
        <w:pStyle w:val="FootnoteText"/>
        <w:rPr>
          <w:sz w:val="16"/>
          <w:szCs w:val="16"/>
        </w:rPr>
      </w:pPr>
      <w:r w:rsidRPr="00465776">
        <w:rPr>
          <w:rStyle w:val="FootnoteReference"/>
          <w:sz w:val="16"/>
          <w:szCs w:val="16"/>
        </w:rPr>
        <w:footnoteRef/>
      </w:r>
      <w:r w:rsidRPr="00465776">
        <w:rPr>
          <w:sz w:val="16"/>
          <w:szCs w:val="16"/>
        </w:rPr>
        <w:t xml:space="preserve"> http://www.legislation.gov.uk/ukpga/2000/22/contents</w:t>
      </w:r>
    </w:p>
  </w:footnote>
  <w:footnote w:id="5">
    <w:p w14:paraId="75DD13F6" w14:textId="3102DEAD" w:rsidR="00C26191" w:rsidRPr="004C536B" w:rsidRDefault="00C26191">
      <w:pPr>
        <w:pStyle w:val="FootnoteText"/>
        <w:rPr>
          <w:sz w:val="16"/>
          <w:szCs w:val="16"/>
        </w:rPr>
      </w:pPr>
      <w:r>
        <w:rPr>
          <w:rStyle w:val="FootnoteReference"/>
        </w:rPr>
        <w:footnoteRef/>
      </w:r>
      <w:r>
        <w:t xml:space="preserve"> </w:t>
      </w:r>
      <w:r w:rsidR="004C536B" w:rsidRPr="004C536B">
        <w:rPr>
          <w:sz w:val="16"/>
          <w:szCs w:val="16"/>
        </w:rPr>
        <w:t>https://www.legislation.gov.uk/ukpga/2011/20/contents</w:t>
      </w:r>
    </w:p>
  </w:footnote>
  <w:footnote w:id="6">
    <w:p w14:paraId="3EB0FDA9" w14:textId="77777777" w:rsidR="001B451C" w:rsidRPr="00465776" w:rsidRDefault="001B451C" w:rsidP="00C43A44">
      <w:pPr>
        <w:pStyle w:val="FootnoteText"/>
        <w:rPr>
          <w:sz w:val="16"/>
          <w:szCs w:val="16"/>
        </w:rPr>
      </w:pPr>
      <w:r w:rsidRPr="00465776">
        <w:rPr>
          <w:rStyle w:val="FootnoteReference"/>
          <w:sz w:val="16"/>
          <w:szCs w:val="16"/>
        </w:rPr>
        <w:footnoteRef/>
      </w:r>
      <w:r w:rsidRPr="00465776">
        <w:rPr>
          <w:sz w:val="16"/>
          <w:szCs w:val="16"/>
        </w:rPr>
        <w:t xml:space="preserve"> http://www.legislation.gov.uk/ukpga/2002/32/contents</w:t>
      </w:r>
    </w:p>
  </w:footnote>
  <w:footnote w:id="7">
    <w:p w14:paraId="270020E0" w14:textId="77777777" w:rsidR="001B451C" w:rsidRPr="00465776" w:rsidRDefault="001B451C" w:rsidP="00C43A44">
      <w:pPr>
        <w:pStyle w:val="FootnoteText"/>
        <w:rPr>
          <w:sz w:val="16"/>
          <w:szCs w:val="16"/>
        </w:rPr>
      </w:pPr>
      <w:r w:rsidRPr="00465776">
        <w:rPr>
          <w:rStyle w:val="FootnoteReference"/>
          <w:sz w:val="16"/>
          <w:szCs w:val="16"/>
        </w:rPr>
        <w:footnoteRef/>
      </w:r>
      <w:r w:rsidRPr="00465776">
        <w:rPr>
          <w:sz w:val="16"/>
          <w:szCs w:val="16"/>
        </w:rPr>
        <w:t xml:space="preserve"> http://www.legislation.gov.uk/ukpga/2003/44/contents</w:t>
      </w:r>
    </w:p>
  </w:footnote>
  <w:footnote w:id="8">
    <w:p w14:paraId="4AF9FB1B" w14:textId="77777777" w:rsidR="001B451C" w:rsidRPr="00465776" w:rsidRDefault="001B451C" w:rsidP="00C43A44">
      <w:pPr>
        <w:pStyle w:val="FootnoteText"/>
        <w:rPr>
          <w:sz w:val="16"/>
          <w:szCs w:val="16"/>
        </w:rPr>
      </w:pPr>
      <w:r w:rsidRPr="00465776">
        <w:rPr>
          <w:rStyle w:val="FootnoteReference"/>
          <w:sz w:val="16"/>
          <w:szCs w:val="16"/>
        </w:rPr>
        <w:footnoteRef/>
      </w:r>
      <w:r w:rsidRPr="00465776">
        <w:rPr>
          <w:sz w:val="16"/>
          <w:szCs w:val="16"/>
        </w:rPr>
        <w:t xml:space="preserve"> http://www.legislation.gov.uk/ukpga/2017/16/contents</w:t>
      </w:r>
    </w:p>
  </w:footnote>
  <w:footnote w:id="9">
    <w:p w14:paraId="73230A74" w14:textId="77777777" w:rsidR="001B451C" w:rsidRPr="00465776" w:rsidRDefault="001B451C" w:rsidP="00C43A44">
      <w:pPr>
        <w:pStyle w:val="FootnoteText"/>
        <w:rPr>
          <w:sz w:val="16"/>
          <w:szCs w:val="16"/>
        </w:rPr>
      </w:pPr>
      <w:r w:rsidRPr="00465776">
        <w:rPr>
          <w:rStyle w:val="FootnoteReference"/>
          <w:sz w:val="16"/>
          <w:szCs w:val="16"/>
        </w:rPr>
        <w:footnoteRef/>
      </w:r>
      <w:r w:rsidRPr="00465776">
        <w:rPr>
          <w:sz w:val="16"/>
          <w:szCs w:val="16"/>
        </w:rPr>
        <w:t xml:space="preserve"> http://www.legislation.gov.uk/ukpga/2005/9/contents</w:t>
      </w:r>
    </w:p>
  </w:footnote>
  <w:footnote w:id="10">
    <w:p w14:paraId="22550791" w14:textId="391EF7A4" w:rsidR="001B451C" w:rsidRPr="00465776" w:rsidRDefault="001B451C" w:rsidP="00C43A44">
      <w:pPr>
        <w:pStyle w:val="FootnoteText"/>
        <w:rPr>
          <w:sz w:val="16"/>
          <w:szCs w:val="16"/>
        </w:rPr>
      </w:pPr>
      <w:r w:rsidRPr="00465776">
        <w:rPr>
          <w:rStyle w:val="FootnoteReference"/>
          <w:sz w:val="16"/>
          <w:szCs w:val="16"/>
        </w:rPr>
        <w:footnoteRef/>
      </w:r>
      <w:r w:rsidRPr="00465776">
        <w:rPr>
          <w:sz w:val="16"/>
          <w:szCs w:val="16"/>
        </w:rPr>
        <w:t xml:space="preserve"> </w:t>
      </w:r>
      <w:r w:rsidR="00702668" w:rsidRPr="00702668">
        <w:rPr>
          <w:sz w:val="16"/>
          <w:szCs w:val="16"/>
        </w:rPr>
        <w:t>https://www.legislation.gov.uk/ukpga/2012/7/contents</w:t>
      </w:r>
    </w:p>
  </w:footnote>
  <w:footnote w:id="11">
    <w:p w14:paraId="3310103B" w14:textId="77777777" w:rsidR="001B451C" w:rsidRPr="00873C4C" w:rsidRDefault="001B451C" w:rsidP="00C43A44">
      <w:pPr>
        <w:pStyle w:val="FootnoteText"/>
        <w:rPr>
          <w:sz w:val="16"/>
          <w:szCs w:val="16"/>
        </w:rPr>
      </w:pPr>
      <w:r w:rsidRPr="00873C4C">
        <w:rPr>
          <w:rStyle w:val="FootnoteReference"/>
          <w:sz w:val="16"/>
          <w:szCs w:val="16"/>
        </w:rPr>
        <w:footnoteRef/>
      </w:r>
      <w:r w:rsidRPr="00873C4C">
        <w:rPr>
          <w:sz w:val="16"/>
          <w:szCs w:val="16"/>
        </w:rPr>
        <w:t xml:space="preserve"> http://www.legislation.gov.uk/ukpga/1998/37/contents</w:t>
      </w:r>
    </w:p>
  </w:footnote>
  <w:footnote w:id="12">
    <w:p w14:paraId="0A4B7703" w14:textId="77777777" w:rsidR="001B451C" w:rsidRPr="00873C4C" w:rsidRDefault="001B451C" w:rsidP="00C43A44">
      <w:pPr>
        <w:pStyle w:val="FootnoteText"/>
        <w:rPr>
          <w:sz w:val="16"/>
          <w:szCs w:val="16"/>
        </w:rPr>
      </w:pPr>
      <w:r w:rsidRPr="00873C4C">
        <w:rPr>
          <w:rStyle w:val="FootnoteReference"/>
          <w:sz w:val="16"/>
          <w:szCs w:val="16"/>
        </w:rPr>
        <w:footnoteRef/>
      </w:r>
      <w:r w:rsidRPr="00873C4C">
        <w:rPr>
          <w:sz w:val="16"/>
          <w:szCs w:val="16"/>
        </w:rPr>
        <w:t xml:space="preserve"> https://www.gov.uk/government/publications/mandatory-reporting-of-female-genital-mutilation-procedural-information</w:t>
      </w:r>
    </w:p>
  </w:footnote>
  <w:footnote w:id="13">
    <w:p w14:paraId="0C215DD3" w14:textId="77777777" w:rsidR="001B451C" w:rsidRPr="00873C4C" w:rsidRDefault="001B451C" w:rsidP="00C43A44">
      <w:pPr>
        <w:pStyle w:val="FootnoteText"/>
        <w:rPr>
          <w:sz w:val="16"/>
          <w:szCs w:val="16"/>
        </w:rPr>
      </w:pPr>
      <w:r w:rsidRPr="00873C4C">
        <w:rPr>
          <w:rStyle w:val="FootnoteReference"/>
          <w:sz w:val="16"/>
          <w:szCs w:val="16"/>
        </w:rPr>
        <w:footnoteRef/>
      </w:r>
      <w:r w:rsidRPr="00873C4C">
        <w:rPr>
          <w:sz w:val="16"/>
          <w:szCs w:val="16"/>
        </w:rPr>
        <w:t xml:space="preserve"> https://www.gov.uk/government/publications/safeguarding-practitioners-information-sharing-advice</w:t>
      </w:r>
    </w:p>
  </w:footnote>
  <w:footnote w:id="14">
    <w:p w14:paraId="77190FD0" w14:textId="77777777" w:rsidR="001B451C" w:rsidRPr="00873C4C" w:rsidRDefault="001B451C" w:rsidP="00C43A44">
      <w:pPr>
        <w:pStyle w:val="FootnoteText"/>
        <w:rPr>
          <w:sz w:val="16"/>
          <w:szCs w:val="16"/>
        </w:rPr>
      </w:pPr>
      <w:r w:rsidRPr="00873C4C">
        <w:rPr>
          <w:rStyle w:val="FootnoteReference"/>
          <w:sz w:val="16"/>
          <w:szCs w:val="16"/>
        </w:rPr>
        <w:footnoteRef/>
      </w:r>
      <w:r w:rsidRPr="00873C4C">
        <w:rPr>
          <w:sz w:val="16"/>
          <w:szCs w:val="16"/>
        </w:rPr>
        <w:t xml:space="preserve"> http://www.londoncp.co.uk/</w:t>
      </w:r>
    </w:p>
  </w:footnote>
  <w:footnote w:id="15">
    <w:p w14:paraId="17808631" w14:textId="77777777" w:rsidR="001B451C" w:rsidRPr="00873C4C" w:rsidRDefault="001B451C" w:rsidP="00C43A44">
      <w:pPr>
        <w:pStyle w:val="FootnoteText"/>
        <w:rPr>
          <w:sz w:val="16"/>
          <w:szCs w:val="16"/>
        </w:rPr>
      </w:pPr>
      <w:r w:rsidRPr="00873C4C">
        <w:rPr>
          <w:rStyle w:val="FootnoteReference"/>
          <w:sz w:val="16"/>
          <w:szCs w:val="16"/>
        </w:rPr>
        <w:footnoteRef/>
      </w:r>
      <w:r w:rsidRPr="00873C4C">
        <w:rPr>
          <w:sz w:val="16"/>
          <w:szCs w:val="16"/>
        </w:rPr>
        <w:t xml:space="preserve"> https://www.england.nhs.uk/wp-content/uploads/2015/07/safeguarding-accountability-assurance-framework.pdf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3F4E3" w14:textId="77777777" w:rsidR="001B451C" w:rsidRDefault="001B4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724BC" w14:textId="77777777" w:rsidR="001B451C" w:rsidRDefault="001B45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EEA5F" w14:textId="77777777" w:rsidR="001B451C" w:rsidRDefault="001B4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77BD"/>
    <w:multiLevelType w:val="hybridMultilevel"/>
    <w:tmpl w:val="AFE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D2622"/>
    <w:multiLevelType w:val="multilevel"/>
    <w:tmpl w:val="9238EBEA"/>
    <w:lvl w:ilvl="0">
      <w:start w:val="1"/>
      <w:numFmt w:val="decimal"/>
      <w:suff w:val="space"/>
      <w:lvlText w:val="%1."/>
      <w:lvlJc w:val="left"/>
      <w:pPr>
        <w:ind w:left="0" w:firstLine="0"/>
      </w:pPr>
      <w:rPr>
        <w:rFonts w:hint="default"/>
      </w:rPr>
    </w:lvl>
    <w:lvl w:ilvl="1">
      <w:start w:val="1"/>
      <w:numFmt w:val="decimal"/>
      <w:suff w:val="nothing"/>
      <w:lvlText w:val="%2.%1."/>
      <w:lvlJc w:val="left"/>
      <w:pPr>
        <w:ind w:left="0" w:firstLine="0"/>
      </w:pPr>
      <w:rPr>
        <w:rFonts w:hint="default"/>
      </w:rPr>
    </w:lvl>
    <w:lvl w:ilvl="2">
      <w:start w:val="1"/>
      <w:numFmt w:val="decimal"/>
      <w:suff w:val="nothing"/>
      <w:lvlText w:val="%2.%3.%1."/>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104C6F0C"/>
    <w:multiLevelType w:val="hybridMultilevel"/>
    <w:tmpl w:val="D7EAE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A7CDC"/>
    <w:multiLevelType w:val="hybridMultilevel"/>
    <w:tmpl w:val="CD000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E5A51"/>
    <w:multiLevelType w:val="hybridMultilevel"/>
    <w:tmpl w:val="563C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A7992"/>
    <w:multiLevelType w:val="hybridMultilevel"/>
    <w:tmpl w:val="70061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977AC"/>
    <w:multiLevelType w:val="hybridMultilevel"/>
    <w:tmpl w:val="AE06A0BA"/>
    <w:lvl w:ilvl="0" w:tplc="12D4B4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D55B71"/>
    <w:multiLevelType w:val="hybridMultilevel"/>
    <w:tmpl w:val="A14C793A"/>
    <w:lvl w:ilvl="0" w:tplc="F3CC95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D53374"/>
    <w:multiLevelType w:val="multilevel"/>
    <w:tmpl w:val="10E8D142"/>
    <w:lvl w:ilvl="0">
      <w:start w:val="1"/>
      <w:numFmt w:val="decimal"/>
      <w:lvlText w:val="%1"/>
      <w:lvlJc w:val="left"/>
      <w:pPr>
        <w:tabs>
          <w:tab w:val="num" w:pos="432"/>
        </w:tabs>
        <w:ind w:left="432" w:hanging="432"/>
      </w:pPr>
      <w:rPr>
        <w:rFonts w:hint="default"/>
        <w:sz w:val="28"/>
      </w:rPr>
    </w:lvl>
    <w:lvl w:ilvl="1">
      <w:start w:val="1"/>
      <w:numFmt w:val="decimal"/>
      <w:lvlText w:val="%1.%2"/>
      <w:lvlJc w:val="left"/>
      <w:pPr>
        <w:tabs>
          <w:tab w:val="num" w:pos="576"/>
        </w:tabs>
        <w:ind w:left="576" w:hanging="576"/>
      </w:pPr>
      <w:rPr>
        <w:rFonts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67D72C7"/>
    <w:multiLevelType w:val="hybridMultilevel"/>
    <w:tmpl w:val="0156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26C0F"/>
    <w:multiLevelType w:val="hybridMultilevel"/>
    <w:tmpl w:val="6F2E9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F61EC4"/>
    <w:multiLevelType w:val="hybridMultilevel"/>
    <w:tmpl w:val="F9B2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CF703F"/>
    <w:multiLevelType w:val="hybridMultilevel"/>
    <w:tmpl w:val="FDAC348E"/>
    <w:lvl w:ilvl="0" w:tplc="A75E6EE6">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839186B"/>
    <w:multiLevelType w:val="multilevel"/>
    <w:tmpl w:val="087E05EC"/>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9413B19"/>
    <w:multiLevelType w:val="hybridMultilevel"/>
    <w:tmpl w:val="7B2CCECC"/>
    <w:lvl w:ilvl="0" w:tplc="008421D6">
      <w:start w:val="1"/>
      <w:numFmt w:val="bullet"/>
      <w:pStyle w:val="Bodybullets"/>
      <w:lvlText w:val=""/>
      <w:lvlJc w:val="left"/>
      <w:pPr>
        <w:tabs>
          <w:tab w:val="num" w:pos="454"/>
        </w:tabs>
        <w:ind w:left="454"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5" w15:restartNumberingAfterBreak="0">
    <w:nsid w:val="7C6B55BA"/>
    <w:multiLevelType w:val="multilevel"/>
    <w:tmpl w:val="FBC2EBC0"/>
    <w:lvl w:ilvl="0">
      <w:start w:val="1"/>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E7E08E4"/>
    <w:multiLevelType w:val="multilevel"/>
    <w:tmpl w:val="E938A84C"/>
    <w:lvl w:ilvl="0">
      <w:start w:val="1"/>
      <w:numFmt w:val="decimal"/>
      <w:pStyle w:val="ChapterheaderBase"/>
      <w:lvlText w:val="%1."/>
      <w:lvlJc w:val="left"/>
      <w:pPr>
        <w:tabs>
          <w:tab w:val="num" w:pos="720"/>
        </w:tabs>
        <w:ind w:left="720" w:hanging="720"/>
      </w:pPr>
      <w:rPr>
        <w:rFonts w:hint="default"/>
      </w:rPr>
    </w:lvl>
    <w:lvl w:ilvl="1">
      <w:start w:val="1"/>
      <w:numFmt w:val="decimal"/>
      <w:pStyle w:val="BodyheaderBase"/>
      <w:lvlText w:val="%1.%2."/>
      <w:lvlJc w:val="left"/>
      <w:pPr>
        <w:tabs>
          <w:tab w:val="num" w:pos="720"/>
        </w:tabs>
        <w:ind w:left="720" w:hanging="720"/>
      </w:pPr>
      <w:rPr>
        <w:rFonts w:hint="default"/>
      </w:rPr>
    </w:lvl>
    <w:lvl w:ilvl="2">
      <w:start w:val="1"/>
      <w:numFmt w:val="decimal"/>
      <w:pStyle w:val="BodyheadersubBase"/>
      <w:lvlText w:val="%1.%2.%3"/>
      <w:lvlJc w:val="left"/>
      <w:pPr>
        <w:tabs>
          <w:tab w:val="num" w:pos="720"/>
        </w:tabs>
        <w:ind w:left="720" w:hanging="7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4"/>
  </w:num>
  <w:num w:numId="2">
    <w:abstractNumId w:val="16"/>
  </w:num>
  <w:num w:numId="3">
    <w:abstractNumId w:val="1"/>
  </w:num>
  <w:num w:numId="4">
    <w:abstractNumId w:val="12"/>
  </w:num>
  <w:num w:numId="5">
    <w:abstractNumId w:val="8"/>
  </w:num>
  <w:num w:numId="6">
    <w:abstractNumId w:val="15"/>
  </w:num>
  <w:num w:numId="7">
    <w:abstractNumId w:val="10"/>
  </w:num>
  <w:num w:numId="8">
    <w:abstractNumId w:val="3"/>
  </w:num>
  <w:num w:numId="9">
    <w:abstractNumId w:val="4"/>
  </w:num>
  <w:num w:numId="10">
    <w:abstractNumId w:val="13"/>
  </w:num>
  <w:num w:numId="11">
    <w:abstractNumId w:val="9"/>
  </w:num>
  <w:num w:numId="12">
    <w:abstractNumId w:val="5"/>
  </w:num>
  <w:num w:numId="13">
    <w:abstractNumId w:val="7"/>
  </w:num>
  <w:num w:numId="14">
    <w:abstractNumId w:val="2"/>
  </w:num>
  <w:num w:numId="15">
    <w:abstractNumId w:val="6"/>
  </w:num>
  <w:num w:numId="16">
    <w:abstractNumId w:val="11"/>
  </w:num>
  <w:num w:numId="17">
    <w:abstractNumId w:val="0"/>
  </w:num>
  <w:num w:numId="18">
    <w:abstractNumId w:val="14"/>
  </w:num>
  <w:num w:numId="19">
    <w:abstractNumId w:val="14"/>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CC1"/>
    <w:rsid w:val="00001200"/>
    <w:rsid w:val="00014835"/>
    <w:rsid w:val="0001515D"/>
    <w:rsid w:val="0001720F"/>
    <w:rsid w:val="00021C31"/>
    <w:rsid w:val="000353D9"/>
    <w:rsid w:val="00041BA1"/>
    <w:rsid w:val="000456E2"/>
    <w:rsid w:val="0005018B"/>
    <w:rsid w:val="00056D68"/>
    <w:rsid w:val="000615FA"/>
    <w:rsid w:val="0006406F"/>
    <w:rsid w:val="00064ABD"/>
    <w:rsid w:val="00070DF3"/>
    <w:rsid w:val="00080145"/>
    <w:rsid w:val="000808F5"/>
    <w:rsid w:val="0008739F"/>
    <w:rsid w:val="00091A0C"/>
    <w:rsid w:val="00094D3A"/>
    <w:rsid w:val="000B053A"/>
    <w:rsid w:val="000B0EF0"/>
    <w:rsid w:val="000D059E"/>
    <w:rsid w:val="000D189C"/>
    <w:rsid w:val="000D26D1"/>
    <w:rsid w:val="000D2882"/>
    <w:rsid w:val="000D5EAE"/>
    <w:rsid w:val="000E6B1A"/>
    <w:rsid w:val="000F23DA"/>
    <w:rsid w:val="000F3F8D"/>
    <w:rsid w:val="000F5574"/>
    <w:rsid w:val="000F7507"/>
    <w:rsid w:val="00103F20"/>
    <w:rsid w:val="00110214"/>
    <w:rsid w:val="0012117A"/>
    <w:rsid w:val="001211DE"/>
    <w:rsid w:val="00133D9E"/>
    <w:rsid w:val="001360F7"/>
    <w:rsid w:val="00142D4A"/>
    <w:rsid w:val="00145A97"/>
    <w:rsid w:val="00147AFF"/>
    <w:rsid w:val="001608D8"/>
    <w:rsid w:val="001775BB"/>
    <w:rsid w:val="001872E3"/>
    <w:rsid w:val="001948B7"/>
    <w:rsid w:val="00194E83"/>
    <w:rsid w:val="001B13C0"/>
    <w:rsid w:val="001B44E6"/>
    <w:rsid w:val="001B451C"/>
    <w:rsid w:val="001B5EDA"/>
    <w:rsid w:val="001C66AF"/>
    <w:rsid w:val="001D4468"/>
    <w:rsid w:val="001E36C8"/>
    <w:rsid w:val="001E4879"/>
    <w:rsid w:val="001F1A4A"/>
    <w:rsid w:val="00200216"/>
    <w:rsid w:val="00200B8B"/>
    <w:rsid w:val="002018AC"/>
    <w:rsid w:val="00201AB3"/>
    <w:rsid w:val="00212985"/>
    <w:rsid w:val="002204E0"/>
    <w:rsid w:val="0022135F"/>
    <w:rsid w:val="00223BCC"/>
    <w:rsid w:val="00223D2C"/>
    <w:rsid w:val="00225EFF"/>
    <w:rsid w:val="00236A12"/>
    <w:rsid w:val="00237E37"/>
    <w:rsid w:val="002641BA"/>
    <w:rsid w:val="00273FF3"/>
    <w:rsid w:val="0028075C"/>
    <w:rsid w:val="00285588"/>
    <w:rsid w:val="002910C9"/>
    <w:rsid w:val="002A162B"/>
    <w:rsid w:val="002A1E70"/>
    <w:rsid w:val="002A2069"/>
    <w:rsid w:val="002B00A2"/>
    <w:rsid w:val="002B22E0"/>
    <w:rsid w:val="002B61C0"/>
    <w:rsid w:val="002C6E6F"/>
    <w:rsid w:val="002D37EA"/>
    <w:rsid w:val="002D3B54"/>
    <w:rsid w:val="002D7907"/>
    <w:rsid w:val="002D7EC7"/>
    <w:rsid w:val="002E0733"/>
    <w:rsid w:val="002E11D6"/>
    <w:rsid w:val="002F7344"/>
    <w:rsid w:val="003055E2"/>
    <w:rsid w:val="0031124D"/>
    <w:rsid w:val="003177E1"/>
    <w:rsid w:val="00320A98"/>
    <w:rsid w:val="00322972"/>
    <w:rsid w:val="00322AE4"/>
    <w:rsid w:val="00324A3B"/>
    <w:rsid w:val="00325273"/>
    <w:rsid w:val="00326DF5"/>
    <w:rsid w:val="00327752"/>
    <w:rsid w:val="0033218B"/>
    <w:rsid w:val="003337F0"/>
    <w:rsid w:val="00333A36"/>
    <w:rsid w:val="00341278"/>
    <w:rsid w:val="003440D5"/>
    <w:rsid w:val="00347526"/>
    <w:rsid w:val="0035181E"/>
    <w:rsid w:val="00357645"/>
    <w:rsid w:val="00364317"/>
    <w:rsid w:val="003701AE"/>
    <w:rsid w:val="00373A6A"/>
    <w:rsid w:val="00374E47"/>
    <w:rsid w:val="0037793B"/>
    <w:rsid w:val="0038763B"/>
    <w:rsid w:val="003942AE"/>
    <w:rsid w:val="003B6DCF"/>
    <w:rsid w:val="003C01D3"/>
    <w:rsid w:val="003C09F3"/>
    <w:rsid w:val="003C251D"/>
    <w:rsid w:val="003E0DC6"/>
    <w:rsid w:val="003E5857"/>
    <w:rsid w:val="003E63E7"/>
    <w:rsid w:val="003F077C"/>
    <w:rsid w:val="003F40F1"/>
    <w:rsid w:val="00400B30"/>
    <w:rsid w:val="004017A5"/>
    <w:rsid w:val="00402424"/>
    <w:rsid w:val="0041582D"/>
    <w:rsid w:val="00420433"/>
    <w:rsid w:val="004351B5"/>
    <w:rsid w:val="00461BA9"/>
    <w:rsid w:val="004624B0"/>
    <w:rsid w:val="004625CB"/>
    <w:rsid w:val="00465776"/>
    <w:rsid w:val="00467E3D"/>
    <w:rsid w:val="00471F2C"/>
    <w:rsid w:val="00475730"/>
    <w:rsid w:val="00483987"/>
    <w:rsid w:val="0049422A"/>
    <w:rsid w:val="00497971"/>
    <w:rsid w:val="004A71E2"/>
    <w:rsid w:val="004B05D5"/>
    <w:rsid w:val="004B791E"/>
    <w:rsid w:val="004C0BDC"/>
    <w:rsid w:val="004C5335"/>
    <w:rsid w:val="004C536B"/>
    <w:rsid w:val="004C5421"/>
    <w:rsid w:val="004C77C6"/>
    <w:rsid w:val="004E0739"/>
    <w:rsid w:val="005023B1"/>
    <w:rsid w:val="005146B1"/>
    <w:rsid w:val="00515AC6"/>
    <w:rsid w:val="00522544"/>
    <w:rsid w:val="00523370"/>
    <w:rsid w:val="00524924"/>
    <w:rsid w:val="00525305"/>
    <w:rsid w:val="005310E3"/>
    <w:rsid w:val="0053244F"/>
    <w:rsid w:val="0053531A"/>
    <w:rsid w:val="00535EC2"/>
    <w:rsid w:val="0053700A"/>
    <w:rsid w:val="0054513D"/>
    <w:rsid w:val="00547B1C"/>
    <w:rsid w:val="00551614"/>
    <w:rsid w:val="005538A4"/>
    <w:rsid w:val="00562066"/>
    <w:rsid w:val="005651F6"/>
    <w:rsid w:val="00567369"/>
    <w:rsid w:val="00571789"/>
    <w:rsid w:val="00573E8E"/>
    <w:rsid w:val="00582B4F"/>
    <w:rsid w:val="005A03A9"/>
    <w:rsid w:val="005A1F81"/>
    <w:rsid w:val="005B35AB"/>
    <w:rsid w:val="005B3C53"/>
    <w:rsid w:val="005B6DC8"/>
    <w:rsid w:val="005C3A86"/>
    <w:rsid w:val="005C4C80"/>
    <w:rsid w:val="005D5DC9"/>
    <w:rsid w:val="005E01CD"/>
    <w:rsid w:val="005E17F9"/>
    <w:rsid w:val="005E3672"/>
    <w:rsid w:val="005E7DB1"/>
    <w:rsid w:val="005F16B2"/>
    <w:rsid w:val="005F3F26"/>
    <w:rsid w:val="00601FF6"/>
    <w:rsid w:val="0060386A"/>
    <w:rsid w:val="006125D0"/>
    <w:rsid w:val="006143FE"/>
    <w:rsid w:val="00615389"/>
    <w:rsid w:val="00622FB0"/>
    <w:rsid w:val="00634182"/>
    <w:rsid w:val="0064349F"/>
    <w:rsid w:val="00646C90"/>
    <w:rsid w:val="00647100"/>
    <w:rsid w:val="00650E9D"/>
    <w:rsid w:val="00651046"/>
    <w:rsid w:val="006535A4"/>
    <w:rsid w:val="006551AE"/>
    <w:rsid w:val="006600A4"/>
    <w:rsid w:val="00667D1B"/>
    <w:rsid w:val="00671414"/>
    <w:rsid w:val="00681AF5"/>
    <w:rsid w:val="00683D94"/>
    <w:rsid w:val="00683EBC"/>
    <w:rsid w:val="0069006C"/>
    <w:rsid w:val="006900FD"/>
    <w:rsid w:val="00693F30"/>
    <w:rsid w:val="006C1607"/>
    <w:rsid w:val="006C358F"/>
    <w:rsid w:val="006C7958"/>
    <w:rsid w:val="006D34A5"/>
    <w:rsid w:val="006D4257"/>
    <w:rsid w:val="006D6C62"/>
    <w:rsid w:val="006D6F55"/>
    <w:rsid w:val="006E2B5F"/>
    <w:rsid w:val="006F0452"/>
    <w:rsid w:val="006F0E33"/>
    <w:rsid w:val="006F6CFB"/>
    <w:rsid w:val="00700BFA"/>
    <w:rsid w:val="00702668"/>
    <w:rsid w:val="00703863"/>
    <w:rsid w:val="0070590A"/>
    <w:rsid w:val="00725701"/>
    <w:rsid w:val="0073690C"/>
    <w:rsid w:val="007376AC"/>
    <w:rsid w:val="007451E0"/>
    <w:rsid w:val="007473AF"/>
    <w:rsid w:val="00751B08"/>
    <w:rsid w:val="00754BAF"/>
    <w:rsid w:val="00756BD1"/>
    <w:rsid w:val="007632E3"/>
    <w:rsid w:val="007670E3"/>
    <w:rsid w:val="00772183"/>
    <w:rsid w:val="00782DEC"/>
    <w:rsid w:val="00787020"/>
    <w:rsid w:val="007906B9"/>
    <w:rsid w:val="00790D9F"/>
    <w:rsid w:val="00790FC5"/>
    <w:rsid w:val="007952BB"/>
    <w:rsid w:val="007A07FD"/>
    <w:rsid w:val="007A205C"/>
    <w:rsid w:val="007A208F"/>
    <w:rsid w:val="007A4D46"/>
    <w:rsid w:val="007A7E77"/>
    <w:rsid w:val="007B3F91"/>
    <w:rsid w:val="007B5A69"/>
    <w:rsid w:val="007C0A63"/>
    <w:rsid w:val="007C3DA9"/>
    <w:rsid w:val="007C4C43"/>
    <w:rsid w:val="007C7612"/>
    <w:rsid w:val="007D022E"/>
    <w:rsid w:val="007D3224"/>
    <w:rsid w:val="007D718C"/>
    <w:rsid w:val="007E1965"/>
    <w:rsid w:val="007E4257"/>
    <w:rsid w:val="007E4435"/>
    <w:rsid w:val="007F1426"/>
    <w:rsid w:val="0080006A"/>
    <w:rsid w:val="00801478"/>
    <w:rsid w:val="00801A4E"/>
    <w:rsid w:val="008035F0"/>
    <w:rsid w:val="00814C48"/>
    <w:rsid w:val="00815EC4"/>
    <w:rsid w:val="00817198"/>
    <w:rsid w:val="008207B3"/>
    <w:rsid w:val="0082753E"/>
    <w:rsid w:val="0083463C"/>
    <w:rsid w:val="00834A6B"/>
    <w:rsid w:val="0083787E"/>
    <w:rsid w:val="00844F1E"/>
    <w:rsid w:val="00856977"/>
    <w:rsid w:val="00862D0E"/>
    <w:rsid w:val="008668D6"/>
    <w:rsid w:val="00873C4C"/>
    <w:rsid w:val="008857AB"/>
    <w:rsid w:val="00886B23"/>
    <w:rsid w:val="00887B3D"/>
    <w:rsid w:val="008934AA"/>
    <w:rsid w:val="00893B5F"/>
    <w:rsid w:val="0089511F"/>
    <w:rsid w:val="008A145A"/>
    <w:rsid w:val="008A24A7"/>
    <w:rsid w:val="008A5C08"/>
    <w:rsid w:val="008A5F3A"/>
    <w:rsid w:val="008A7AE9"/>
    <w:rsid w:val="008A7AEB"/>
    <w:rsid w:val="008B38F0"/>
    <w:rsid w:val="008B6391"/>
    <w:rsid w:val="008B7090"/>
    <w:rsid w:val="008C3440"/>
    <w:rsid w:val="008C3FDD"/>
    <w:rsid w:val="008C5AA1"/>
    <w:rsid w:val="008D33B2"/>
    <w:rsid w:val="008D65CF"/>
    <w:rsid w:val="008D7B83"/>
    <w:rsid w:val="008E0FFA"/>
    <w:rsid w:val="008E7E79"/>
    <w:rsid w:val="008F4FB9"/>
    <w:rsid w:val="009003B7"/>
    <w:rsid w:val="00910711"/>
    <w:rsid w:val="00913C87"/>
    <w:rsid w:val="00932759"/>
    <w:rsid w:val="009334FC"/>
    <w:rsid w:val="00933CC1"/>
    <w:rsid w:val="00934653"/>
    <w:rsid w:val="00940144"/>
    <w:rsid w:val="00950E91"/>
    <w:rsid w:val="00954569"/>
    <w:rsid w:val="00961E69"/>
    <w:rsid w:val="0096211B"/>
    <w:rsid w:val="009624A1"/>
    <w:rsid w:val="00973D86"/>
    <w:rsid w:val="00976CA8"/>
    <w:rsid w:val="009900DE"/>
    <w:rsid w:val="00994DC6"/>
    <w:rsid w:val="009977E0"/>
    <w:rsid w:val="009A38A8"/>
    <w:rsid w:val="009B74B8"/>
    <w:rsid w:val="009C3A58"/>
    <w:rsid w:val="009C4886"/>
    <w:rsid w:val="009E1A1B"/>
    <w:rsid w:val="00A02857"/>
    <w:rsid w:val="00A056D5"/>
    <w:rsid w:val="00A1183B"/>
    <w:rsid w:val="00A13FF1"/>
    <w:rsid w:val="00A16EB2"/>
    <w:rsid w:val="00A24AF3"/>
    <w:rsid w:val="00A40099"/>
    <w:rsid w:val="00A4055C"/>
    <w:rsid w:val="00A47775"/>
    <w:rsid w:val="00A52375"/>
    <w:rsid w:val="00A621F2"/>
    <w:rsid w:val="00A63283"/>
    <w:rsid w:val="00A6335A"/>
    <w:rsid w:val="00A64644"/>
    <w:rsid w:val="00A77838"/>
    <w:rsid w:val="00A80262"/>
    <w:rsid w:val="00A83493"/>
    <w:rsid w:val="00A8694D"/>
    <w:rsid w:val="00A96DAF"/>
    <w:rsid w:val="00A97AA9"/>
    <w:rsid w:val="00AA1452"/>
    <w:rsid w:val="00AA6715"/>
    <w:rsid w:val="00AA6B35"/>
    <w:rsid w:val="00AB2187"/>
    <w:rsid w:val="00AB6107"/>
    <w:rsid w:val="00AB66F9"/>
    <w:rsid w:val="00AC5301"/>
    <w:rsid w:val="00AC53FB"/>
    <w:rsid w:val="00AD0676"/>
    <w:rsid w:val="00AD78AE"/>
    <w:rsid w:val="00AE6025"/>
    <w:rsid w:val="00AF148B"/>
    <w:rsid w:val="00AF23B2"/>
    <w:rsid w:val="00AF384B"/>
    <w:rsid w:val="00B00708"/>
    <w:rsid w:val="00B0203B"/>
    <w:rsid w:val="00B25F6B"/>
    <w:rsid w:val="00B30F18"/>
    <w:rsid w:val="00B31036"/>
    <w:rsid w:val="00B361CB"/>
    <w:rsid w:val="00B45114"/>
    <w:rsid w:val="00B51466"/>
    <w:rsid w:val="00B53CEB"/>
    <w:rsid w:val="00B54229"/>
    <w:rsid w:val="00B65EB5"/>
    <w:rsid w:val="00B711D0"/>
    <w:rsid w:val="00B7175E"/>
    <w:rsid w:val="00B77509"/>
    <w:rsid w:val="00B96537"/>
    <w:rsid w:val="00BA50B1"/>
    <w:rsid w:val="00BA74DB"/>
    <w:rsid w:val="00BB763E"/>
    <w:rsid w:val="00BC2D2F"/>
    <w:rsid w:val="00BD3380"/>
    <w:rsid w:val="00BD3DDD"/>
    <w:rsid w:val="00BE5A41"/>
    <w:rsid w:val="00BF1BDE"/>
    <w:rsid w:val="00C006A6"/>
    <w:rsid w:val="00C03322"/>
    <w:rsid w:val="00C10334"/>
    <w:rsid w:val="00C24B94"/>
    <w:rsid w:val="00C26191"/>
    <w:rsid w:val="00C41E32"/>
    <w:rsid w:val="00C426C0"/>
    <w:rsid w:val="00C43A44"/>
    <w:rsid w:val="00C44232"/>
    <w:rsid w:val="00C502DF"/>
    <w:rsid w:val="00C522D2"/>
    <w:rsid w:val="00C55A82"/>
    <w:rsid w:val="00C61A79"/>
    <w:rsid w:val="00C63F19"/>
    <w:rsid w:val="00C70128"/>
    <w:rsid w:val="00C73710"/>
    <w:rsid w:val="00C8754C"/>
    <w:rsid w:val="00C906E0"/>
    <w:rsid w:val="00CA44FA"/>
    <w:rsid w:val="00CB2311"/>
    <w:rsid w:val="00CB786D"/>
    <w:rsid w:val="00CC290D"/>
    <w:rsid w:val="00CC32F2"/>
    <w:rsid w:val="00CD08FD"/>
    <w:rsid w:val="00CD2AEF"/>
    <w:rsid w:val="00CD2C4E"/>
    <w:rsid w:val="00CD71AF"/>
    <w:rsid w:val="00CF1036"/>
    <w:rsid w:val="00CF79A3"/>
    <w:rsid w:val="00D01240"/>
    <w:rsid w:val="00D0144E"/>
    <w:rsid w:val="00D10BA9"/>
    <w:rsid w:val="00D23149"/>
    <w:rsid w:val="00D2397B"/>
    <w:rsid w:val="00D27E28"/>
    <w:rsid w:val="00D32091"/>
    <w:rsid w:val="00D37B43"/>
    <w:rsid w:val="00D42B74"/>
    <w:rsid w:val="00D47F50"/>
    <w:rsid w:val="00D5307A"/>
    <w:rsid w:val="00D56817"/>
    <w:rsid w:val="00D65185"/>
    <w:rsid w:val="00D65269"/>
    <w:rsid w:val="00D7211E"/>
    <w:rsid w:val="00D81B52"/>
    <w:rsid w:val="00D902C9"/>
    <w:rsid w:val="00D916F1"/>
    <w:rsid w:val="00DA36B8"/>
    <w:rsid w:val="00DB7585"/>
    <w:rsid w:val="00DC3241"/>
    <w:rsid w:val="00DE1BB8"/>
    <w:rsid w:val="00DE5F21"/>
    <w:rsid w:val="00E011E5"/>
    <w:rsid w:val="00E060CE"/>
    <w:rsid w:val="00E11609"/>
    <w:rsid w:val="00E12492"/>
    <w:rsid w:val="00E12FB3"/>
    <w:rsid w:val="00E268DF"/>
    <w:rsid w:val="00E31279"/>
    <w:rsid w:val="00E36326"/>
    <w:rsid w:val="00E4034E"/>
    <w:rsid w:val="00E43192"/>
    <w:rsid w:val="00E43C77"/>
    <w:rsid w:val="00E4669E"/>
    <w:rsid w:val="00E61FDF"/>
    <w:rsid w:val="00E64D9B"/>
    <w:rsid w:val="00E657FE"/>
    <w:rsid w:val="00E73B32"/>
    <w:rsid w:val="00E80B18"/>
    <w:rsid w:val="00E82187"/>
    <w:rsid w:val="00E9141F"/>
    <w:rsid w:val="00E934D6"/>
    <w:rsid w:val="00E93791"/>
    <w:rsid w:val="00E93F01"/>
    <w:rsid w:val="00E96F06"/>
    <w:rsid w:val="00EA1500"/>
    <w:rsid w:val="00EB2047"/>
    <w:rsid w:val="00EC3514"/>
    <w:rsid w:val="00EC544B"/>
    <w:rsid w:val="00EC5F43"/>
    <w:rsid w:val="00ED4BE3"/>
    <w:rsid w:val="00ED6309"/>
    <w:rsid w:val="00EE1D37"/>
    <w:rsid w:val="00F0304D"/>
    <w:rsid w:val="00F07A8A"/>
    <w:rsid w:val="00F10593"/>
    <w:rsid w:val="00F10EA3"/>
    <w:rsid w:val="00F11930"/>
    <w:rsid w:val="00F20041"/>
    <w:rsid w:val="00F26927"/>
    <w:rsid w:val="00F37AA2"/>
    <w:rsid w:val="00F4240E"/>
    <w:rsid w:val="00F461AE"/>
    <w:rsid w:val="00F46210"/>
    <w:rsid w:val="00F55D09"/>
    <w:rsid w:val="00F70895"/>
    <w:rsid w:val="00F81626"/>
    <w:rsid w:val="00F8173C"/>
    <w:rsid w:val="00F85337"/>
    <w:rsid w:val="00FA4B51"/>
    <w:rsid w:val="00FC033C"/>
    <w:rsid w:val="00FC49C8"/>
    <w:rsid w:val="00FD373E"/>
    <w:rsid w:val="00FD63CC"/>
    <w:rsid w:val="00FD6B4D"/>
    <w:rsid w:val="00FF0D17"/>
    <w:rsid w:val="00FF1D1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oNotEmbedSmartTags/>
  <w:decimalSymbol w:val="."/>
  <w:listSeparator w:val=","/>
  <w14:docId w14:val="6C91639B"/>
  <w15:docId w15:val="{3B9E8A84-1A7C-435B-AE49-84D07AC2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440"/>
    <w:pPr>
      <w:spacing w:before="80" w:after="80" w:line="288" w:lineRule="auto"/>
    </w:pPr>
    <w:rPr>
      <w:rFonts w:ascii="Arial" w:hAnsi="Arial" w:cs="Arial"/>
      <w:color w:val="000000"/>
      <w:sz w:val="22"/>
      <w:szCs w:val="22"/>
      <w:lang w:val="en-GB"/>
    </w:rPr>
  </w:style>
  <w:style w:type="paragraph" w:styleId="Heading1">
    <w:name w:val="heading 1"/>
    <w:basedOn w:val="ChapterheaderBase"/>
    <w:next w:val="Normal"/>
    <w:link w:val="Heading1Char"/>
    <w:qFormat/>
    <w:rsid w:val="00200B8B"/>
    <w:pPr>
      <w:spacing w:line="240" w:lineRule="auto"/>
      <w:outlineLvl w:val="0"/>
    </w:pPr>
  </w:style>
  <w:style w:type="paragraph" w:styleId="Heading2">
    <w:name w:val="heading 2"/>
    <w:basedOn w:val="BodyheaderBase"/>
    <w:next w:val="Normal"/>
    <w:link w:val="Heading2Char"/>
    <w:unhideWhenUsed/>
    <w:qFormat/>
    <w:rsid w:val="00940144"/>
    <w:pPr>
      <w:keepNext/>
      <w:outlineLvl w:val="1"/>
    </w:pPr>
  </w:style>
  <w:style w:type="paragraph" w:styleId="Heading3">
    <w:name w:val="heading 3"/>
    <w:basedOn w:val="BodyheadersubBase"/>
    <w:next w:val="Normal"/>
    <w:link w:val="Heading3Char"/>
    <w:unhideWhenUsed/>
    <w:qFormat/>
    <w:rsid w:val="00200B8B"/>
    <w:pPr>
      <w:outlineLvl w:val="2"/>
    </w:pPr>
  </w:style>
  <w:style w:type="paragraph" w:styleId="Heading4">
    <w:name w:val="heading 4"/>
    <w:basedOn w:val="Normal"/>
    <w:next w:val="Normal"/>
    <w:link w:val="Heading4Char"/>
    <w:unhideWhenUsed/>
    <w:qFormat/>
    <w:rsid w:val="000456E2"/>
    <w:pPr>
      <w:keepNext/>
      <w:numPr>
        <w:ilvl w:val="3"/>
        <w:numId w:val="3"/>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nhideWhenUsed/>
    <w:qFormat/>
    <w:rsid w:val="000456E2"/>
    <w:pPr>
      <w:numPr>
        <w:ilvl w:val="4"/>
        <w:numId w:val="3"/>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rsid w:val="000456E2"/>
    <w:pPr>
      <w:numPr>
        <w:ilvl w:val="5"/>
        <w:numId w:val="3"/>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nhideWhenUsed/>
    <w:qFormat/>
    <w:rsid w:val="000456E2"/>
    <w:pPr>
      <w:numPr>
        <w:ilvl w:val="6"/>
        <w:numId w:val="3"/>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nhideWhenUsed/>
    <w:qFormat/>
    <w:rsid w:val="000456E2"/>
    <w:pPr>
      <w:numPr>
        <w:ilvl w:val="7"/>
        <w:numId w:val="3"/>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nhideWhenUsed/>
    <w:qFormat/>
    <w:rsid w:val="000456E2"/>
    <w:pPr>
      <w:numPr>
        <w:ilvl w:val="8"/>
        <w:numId w:val="3"/>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C3440"/>
    <w:pPr>
      <w:tabs>
        <w:tab w:val="center" w:pos="5103"/>
        <w:tab w:val="right" w:pos="10206"/>
      </w:tabs>
      <w:spacing w:before="0" w:after="0"/>
    </w:pPr>
    <w:rPr>
      <w:sz w:val="16"/>
      <w:szCs w:val="16"/>
    </w:rPr>
  </w:style>
  <w:style w:type="character" w:customStyle="1" w:styleId="HeaderChar">
    <w:name w:val="Header Char"/>
    <w:link w:val="Header"/>
    <w:rsid w:val="008C3440"/>
    <w:rPr>
      <w:rFonts w:ascii="Arial" w:hAnsi="Arial" w:cs="Arial"/>
      <w:color w:val="000000"/>
      <w:sz w:val="16"/>
      <w:szCs w:val="16"/>
    </w:rPr>
  </w:style>
  <w:style w:type="paragraph" w:styleId="Footer">
    <w:name w:val="footer"/>
    <w:basedOn w:val="Normal"/>
    <w:link w:val="FooterChar"/>
    <w:uiPriority w:val="99"/>
    <w:unhideWhenUsed/>
    <w:rsid w:val="00933CC1"/>
    <w:pPr>
      <w:tabs>
        <w:tab w:val="center" w:pos="4320"/>
        <w:tab w:val="right" w:pos="8640"/>
      </w:tabs>
      <w:spacing w:after="0"/>
    </w:pPr>
  </w:style>
  <w:style w:type="character" w:customStyle="1" w:styleId="FooterChar">
    <w:name w:val="Footer Char"/>
    <w:link w:val="Footer"/>
    <w:uiPriority w:val="99"/>
    <w:rsid w:val="00933CC1"/>
    <w:rPr>
      <w:sz w:val="24"/>
      <w:szCs w:val="24"/>
      <w:lang w:val="en-GB"/>
    </w:rPr>
  </w:style>
  <w:style w:type="paragraph" w:styleId="BalloonText">
    <w:name w:val="Balloon Text"/>
    <w:basedOn w:val="Normal"/>
    <w:link w:val="BalloonTextChar"/>
    <w:semiHidden/>
    <w:unhideWhenUsed/>
    <w:rsid w:val="00933CC1"/>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933CC1"/>
    <w:rPr>
      <w:rFonts w:ascii="Lucida Grande" w:hAnsi="Lucida Grande" w:cs="Lucida Grande"/>
      <w:sz w:val="18"/>
      <w:szCs w:val="18"/>
      <w:lang w:val="en-GB"/>
    </w:rPr>
  </w:style>
  <w:style w:type="paragraph" w:customStyle="1" w:styleId="TitleBase">
    <w:name w:val="Title (Base)"/>
    <w:basedOn w:val="Normal"/>
    <w:next w:val="TitlesubBase"/>
    <w:uiPriority w:val="99"/>
    <w:rsid w:val="00497971"/>
    <w:pPr>
      <w:keepLines/>
      <w:widowControl w:val="0"/>
      <w:suppressAutoHyphens/>
      <w:autoSpaceDE w:val="0"/>
      <w:autoSpaceDN w:val="0"/>
      <w:adjustRightInd w:val="0"/>
      <w:spacing w:after="170"/>
      <w:contextualSpacing/>
      <w:jc w:val="right"/>
      <w:textAlignment w:val="baseline"/>
    </w:pPr>
    <w:rPr>
      <w:rFonts w:ascii="Georgia" w:hAnsi="Georgia" w:cs="CenturySchoolbook-Bold"/>
      <w:b/>
      <w:bCs/>
      <w:color w:val="00988E"/>
      <w:spacing w:val="-30"/>
      <w:sz w:val="88"/>
      <w:szCs w:val="88"/>
    </w:rPr>
  </w:style>
  <w:style w:type="paragraph" w:customStyle="1" w:styleId="TitlesubBase">
    <w:name w:val="Title sub (Base)"/>
    <w:basedOn w:val="TitleBase"/>
    <w:next w:val="Normal"/>
    <w:uiPriority w:val="99"/>
    <w:rsid w:val="007A7E77"/>
    <w:rPr>
      <w:rFonts w:cs="CenturySchoolbook"/>
      <w:sz w:val="48"/>
      <w:szCs w:val="48"/>
    </w:rPr>
  </w:style>
  <w:style w:type="paragraph" w:customStyle="1" w:styleId="TitleleadBase">
    <w:name w:val="Title lead (Base)"/>
    <w:basedOn w:val="TitlesubBase"/>
    <w:next w:val="TitleBase"/>
    <w:uiPriority w:val="99"/>
    <w:rsid w:val="007A7E77"/>
    <w:pPr>
      <w:keepNext/>
      <w:spacing w:after="0"/>
    </w:pPr>
    <w:rPr>
      <w:color w:val="514C51"/>
    </w:rPr>
  </w:style>
  <w:style w:type="character" w:styleId="PageNumber">
    <w:name w:val="page number"/>
    <w:uiPriority w:val="99"/>
    <w:semiHidden/>
    <w:unhideWhenUsed/>
    <w:rsid w:val="007A7E77"/>
  </w:style>
  <w:style w:type="character" w:customStyle="1" w:styleId="Heading1Char">
    <w:name w:val="Heading 1 Char"/>
    <w:link w:val="Heading1"/>
    <w:rsid w:val="00200B8B"/>
    <w:rPr>
      <w:rFonts w:ascii="Georgia" w:hAnsi="Georgia" w:cs="CenturySchoolbook"/>
      <w:b/>
      <w:bCs/>
      <w:color w:val="00988E"/>
      <w:spacing w:val="-30"/>
      <w:sz w:val="40"/>
      <w:szCs w:val="48"/>
      <w:lang w:val="en-GB" w:eastAsia="ja-JP"/>
    </w:rPr>
  </w:style>
  <w:style w:type="paragraph" w:customStyle="1" w:styleId="Body">
    <w:name w:val="Body"/>
    <w:qFormat/>
    <w:rsid w:val="008C3440"/>
    <w:pPr>
      <w:spacing w:before="80" w:after="80" w:line="288" w:lineRule="auto"/>
    </w:pPr>
    <w:rPr>
      <w:rFonts w:ascii="Arial" w:hAnsi="Arial" w:cs="Arial"/>
      <w:color w:val="000000"/>
      <w:sz w:val="22"/>
      <w:szCs w:val="22"/>
    </w:rPr>
  </w:style>
  <w:style w:type="table" w:styleId="TableGrid">
    <w:name w:val="Table Grid"/>
    <w:basedOn w:val="TableNormal"/>
    <w:uiPriority w:val="59"/>
    <w:rsid w:val="00017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headerBase">
    <w:name w:val="Body header (Base)"/>
    <w:basedOn w:val="Body"/>
    <w:qFormat/>
    <w:rsid w:val="00DC3241"/>
    <w:pPr>
      <w:numPr>
        <w:ilvl w:val="1"/>
        <w:numId w:val="2"/>
      </w:numPr>
      <w:spacing w:before="50" w:after="40"/>
    </w:pPr>
    <w:rPr>
      <w:b/>
      <w:color w:val="1F497D" w:themeColor="text2"/>
      <w:sz w:val="26"/>
      <w:szCs w:val="26"/>
    </w:rPr>
  </w:style>
  <w:style w:type="paragraph" w:customStyle="1" w:styleId="ChapterheaderBase">
    <w:name w:val="Chapter header (Base)"/>
    <w:basedOn w:val="Normal"/>
    <w:qFormat/>
    <w:rsid w:val="00DC3241"/>
    <w:pPr>
      <w:numPr>
        <w:numId w:val="2"/>
      </w:numPr>
      <w:spacing w:before="180" w:after="90"/>
    </w:pPr>
    <w:rPr>
      <w:rFonts w:cs="CenturySchoolbook"/>
      <w:b/>
      <w:bCs/>
      <w:color w:val="1F497D" w:themeColor="text2"/>
      <w:spacing w:val="-30"/>
      <w:sz w:val="40"/>
      <w:szCs w:val="48"/>
      <w:lang w:eastAsia="ja-JP"/>
    </w:rPr>
  </w:style>
  <w:style w:type="paragraph" w:customStyle="1" w:styleId="Bodybullets">
    <w:name w:val="Body bullets"/>
    <w:basedOn w:val="Body"/>
    <w:qFormat/>
    <w:rsid w:val="00FD63CC"/>
    <w:pPr>
      <w:numPr>
        <w:numId w:val="1"/>
      </w:numPr>
    </w:pPr>
  </w:style>
  <w:style w:type="paragraph" w:customStyle="1" w:styleId="BodyTableheaderBase">
    <w:name w:val="Body Table header (Base)"/>
    <w:basedOn w:val="Body"/>
    <w:qFormat/>
    <w:rsid w:val="007C0A63"/>
    <w:rPr>
      <w:b/>
      <w:color w:val="FFFFFF" w:themeColor="background1"/>
    </w:rPr>
  </w:style>
  <w:style w:type="character" w:customStyle="1" w:styleId="Note">
    <w:name w:val="Note"/>
    <w:basedOn w:val="DefaultParagraphFont"/>
    <w:uiPriority w:val="1"/>
    <w:qFormat/>
    <w:rsid w:val="007B3F91"/>
    <w:rPr>
      <w:i w:val="0"/>
      <w:iCs/>
      <w:sz w:val="18"/>
      <w:szCs w:val="18"/>
      <w:lang w:val="en-GB"/>
    </w:rPr>
  </w:style>
  <w:style w:type="paragraph" w:customStyle="1" w:styleId="BodyheadersubBase">
    <w:name w:val="Body header sub (Base)"/>
    <w:basedOn w:val="BodyheaderBase"/>
    <w:qFormat/>
    <w:rsid w:val="00815EC4"/>
    <w:pPr>
      <w:numPr>
        <w:ilvl w:val="2"/>
      </w:numPr>
    </w:pPr>
    <w:rPr>
      <w:color w:val="3A3D41"/>
      <w:sz w:val="24"/>
    </w:rPr>
  </w:style>
  <w:style w:type="paragraph" w:styleId="TOC2">
    <w:name w:val="toc 2"/>
    <w:basedOn w:val="Normal"/>
    <w:next w:val="Normal"/>
    <w:autoRedefine/>
    <w:uiPriority w:val="39"/>
    <w:unhideWhenUsed/>
    <w:rsid w:val="00B711D0"/>
    <w:pPr>
      <w:tabs>
        <w:tab w:val="left" w:pos="993"/>
        <w:tab w:val="right" w:leader="dot" w:pos="10188"/>
      </w:tabs>
      <w:ind w:left="993" w:hanging="567"/>
    </w:pPr>
    <w:rPr>
      <w:b/>
      <w:noProof/>
    </w:rPr>
  </w:style>
  <w:style w:type="character" w:customStyle="1" w:styleId="Heading2Char">
    <w:name w:val="Heading 2 Char"/>
    <w:basedOn w:val="DefaultParagraphFont"/>
    <w:link w:val="Heading2"/>
    <w:rsid w:val="00940144"/>
    <w:rPr>
      <w:rFonts w:ascii="Arial" w:hAnsi="Arial" w:cs="Arial"/>
      <w:b/>
      <w:color w:val="1F497D" w:themeColor="text2"/>
      <w:sz w:val="26"/>
      <w:szCs w:val="26"/>
    </w:rPr>
  </w:style>
  <w:style w:type="character" w:customStyle="1" w:styleId="Heading3Char">
    <w:name w:val="Heading 3 Char"/>
    <w:basedOn w:val="DefaultParagraphFont"/>
    <w:link w:val="Heading3"/>
    <w:rsid w:val="00200B8B"/>
    <w:rPr>
      <w:rFonts w:ascii="Arial" w:hAnsi="Arial" w:cs="Arial"/>
      <w:b/>
      <w:color w:val="3A3D41"/>
      <w:sz w:val="24"/>
      <w:szCs w:val="26"/>
    </w:rPr>
  </w:style>
  <w:style w:type="character" w:customStyle="1" w:styleId="Heading4Char">
    <w:name w:val="Heading 4 Char"/>
    <w:basedOn w:val="DefaultParagraphFont"/>
    <w:link w:val="Heading4"/>
    <w:rsid w:val="000456E2"/>
    <w:rPr>
      <w:rFonts w:asciiTheme="minorHAnsi" w:eastAsiaTheme="minorEastAsia" w:hAnsiTheme="minorHAnsi" w:cstheme="minorBidi"/>
      <w:b/>
      <w:bCs/>
      <w:color w:val="000000"/>
      <w:sz w:val="28"/>
      <w:szCs w:val="28"/>
      <w:lang w:val="en-GB"/>
    </w:rPr>
  </w:style>
  <w:style w:type="character" w:customStyle="1" w:styleId="Heading5Char">
    <w:name w:val="Heading 5 Char"/>
    <w:basedOn w:val="DefaultParagraphFont"/>
    <w:link w:val="Heading5"/>
    <w:rsid w:val="000456E2"/>
    <w:rPr>
      <w:rFonts w:asciiTheme="minorHAnsi" w:eastAsiaTheme="minorEastAsia" w:hAnsiTheme="minorHAnsi" w:cstheme="minorBidi"/>
      <w:b/>
      <w:bCs/>
      <w:i/>
      <w:iCs/>
      <w:color w:val="000000"/>
      <w:sz w:val="26"/>
      <w:szCs w:val="26"/>
      <w:lang w:val="en-GB"/>
    </w:rPr>
  </w:style>
  <w:style w:type="character" w:customStyle="1" w:styleId="Heading6Char">
    <w:name w:val="Heading 6 Char"/>
    <w:basedOn w:val="DefaultParagraphFont"/>
    <w:link w:val="Heading6"/>
    <w:rsid w:val="000456E2"/>
    <w:rPr>
      <w:rFonts w:asciiTheme="minorHAnsi" w:eastAsiaTheme="minorEastAsia" w:hAnsiTheme="minorHAnsi" w:cstheme="minorBidi"/>
      <w:b/>
      <w:bCs/>
      <w:color w:val="000000"/>
      <w:sz w:val="22"/>
      <w:szCs w:val="22"/>
      <w:lang w:val="en-GB"/>
    </w:rPr>
  </w:style>
  <w:style w:type="character" w:customStyle="1" w:styleId="Heading7Char">
    <w:name w:val="Heading 7 Char"/>
    <w:basedOn w:val="DefaultParagraphFont"/>
    <w:link w:val="Heading7"/>
    <w:rsid w:val="000456E2"/>
    <w:rPr>
      <w:rFonts w:asciiTheme="minorHAnsi" w:eastAsiaTheme="minorEastAsia" w:hAnsiTheme="minorHAnsi" w:cstheme="minorBidi"/>
      <w:color w:val="000000"/>
      <w:sz w:val="24"/>
      <w:szCs w:val="24"/>
      <w:lang w:val="en-GB"/>
    </w:rPr>
  </w:style>
  <w:style w:type="character" w:customStyle="1" w:styleId="Heading8Char">
    <w:name w:val="Heading 8 Char"/>
    <w:basedOn w:val="DefaultParagraphFont"/>
    <w:link w:val="Heading8"/>
    <w:rsid w:val="000456E2"/>
    <w:rPr>
      <w:rFonts w:asciiTheme="minorHAnsi" w:eastAsiaTheme="minorEastAsia" w:hAnsiTheme="minorHAnsi" w:cstheme="minorBidi"/>
      <w:i/>
      <w:iCs/>
      <w:color w:val="000000"/>
      <w:sz w:val="24"/>
      <w:szCs w:val="24"/>
      <w:lang w:val="en-GB"/>
    </w:rPr>
  </w:style>
  <w:style w:type="character" w:customStyle="1" w:styleId="Heading9Char">
    <w:name w:val="Heading 9 Char"/>
    <w:basedOn w:val="DefaultParagraphFont"/>
    <w:link w:val="Heading9"/>
    <w:rsid w:val="000456E2"/>
    <w:rPr>
      <w:rFonts w:asciiTheme="majorHAnsi" w:eastAsiaTheme="majorEastAsia" w:hAnsiTheme="majorHAnsi" w:cstheme="majorBidi"/>
      <w:color w:val="000000"/>
      <w:sz w:val="22"/>
      <w:szCs w:val="22"/>
      <w:lang w:val="en-GB"/>
    </w:rPr>
  </w:style>
  <w:style w:type="paragraph" w:styleId="TOC1">
    <w:name w:val="toc 1"/>
    <w:basedOn w:val="Normal"/>
    <w:next w:val="Normal"/>
    <w:autoRedefine/>
    <w:uiPriority w:val="39"/>
    <w:unhideWhenUsed/>
    <w:rsid w:val="00B711D0"/>
    <w:pPr>
      <w:tabs>
        <w:tab w:val="left" w:pos="423"/>
        <w:tab w:val="right" w:leader="dot" w:pos="10188"/>
      </w:tabs>
      <w:spacing w:after="100"/>
      <w:ind w:left="426" w:hanging="426"/>
    </w:pPr>
    <w:rPr>
      <w:b/>
      <w:noProof/>
      <w:color w:val="00988E"/>
      <w:sz w:val="24"/>
    </w:rPr>
  </w:style>
  <w:style w:type="paragraph" w:styleId="TOC3">
    <w:name w:val="toc 3"/>
    <w:basedOn w:val="Normal"/>
    <w:next w:val="Normal"/>
    <w:autoRedefine/>
    <w:uiPriority w:val="39"/>
    <w:unhideWhenUsed/>
    <w:rsid w:val="00B711D0"/>
    <w:pPr>
      <w:tabs>
        <w:tab w:val="left" w:pos="1843"/>
        <w:tab w:val="right" w:leader="dot" w:pos="10188"/>
      </w:tabs>
      <w:ind w:left="1843" w:hanging="850"/>
    </w:pPr>
    <w:rPr>
      <w:noProof/>
    </w:rPr>
  </w:style>
  <w:style w:type="paragraph" w:styleId="TOC4">
    <w:name w:val="toc 4"/>
    <w:basedOn w:val="Normal"/>
    <w:next w:val="Normal"/>
    <w:autoRedefine/>
    <w:uiPriority w:val="39"/>
    <w:unhideWhenUsed/>
    <w:rsid w:val="00815EC4"/>
    <w:pPr>
      <w:ind w:left="660"/>
    </w:pPr>
  </w:style>
  <w:style w:type="paragraph" w:styleId="TOC5">
    <w:name w:val="toc 5"/>
    <w:basedOn w:val="Normal"/>
    <w:next w:val="Normal"/>
    <w:autoRedefine/>
    <w:uiPriority w:val="39"/>
    <w:unhideWhenUsed/>
    <w:rsid w:val="00815EC4"/>
    <w:pPr>
      <w:ind w:left="880"/>
    </w:pPr>
  </w:style>
  <w:style w:type="paragraph" w:styleId="TOC6">
    <w:name w:val="toc 6"/>
    <w:basedOn w:val="Normal"/>
    <w:next w:val="Normal"/>
    <w:autoRedefine/>
    <w:uiPriority w:val="39"/>
    <w:unhideWhenUsed/>
    <w:rsid w:val="00815EC4"/>
    <w:pPr>
      <w:ind w:left="1100"/>
    </w:pPr>
  </w:style>
  <w:style w:type="paragraph" w:styleId="TOC7">
    <w:name w:val="toc 7"/>
    <w:basedOn w:val="Normal"/>
    <w:next w:val="Normal"/>
    <w:autoRedefine/>
    <w:uiPriority w:val="39"/>
    <w:unhideWhenUsed/>
    <w:rsid w:val="00815EC4"/>
    <w:pPr>
      <w:ind w:left="1320"/>
    </w:pPr>
  </w:style>
  <w:style w:type="paragraph" w:styleId="TOC8">
    <w:name w:val="toc 8"/>
    <w:basedOn w:val="Normal"/>
    <w:next w:val="Normal"/>
    <w:autoRedefine/>
    <w:uiPriority w:val="39"/>
    <w:unhideWhenUsed/>
    <w:rsid w:val="00815EC4"/>
    <w:pPr>
      <w:ind w:left="1540"/>
    </w:pPr>
  </w:style>
  <w:style w:type="paragraph" w:styleId="TOC9">
    <w:name w:val="toc 9"/>
    <w:basedOn w:val="Normal"/>
    <w:next w:val="Normal"/>
    <w:autoRedefine/>
    <w:uiPriority w:val="39"/>
    <w:unhideWhenUsed/>
    <w:rsid w:val="00815EC4"/>
    <w:pPr>
      <w:ind w:left="1760"/>
    </w:pPr>
  </w:style>
  <w:style w:type="paragraph" w:styleId="TOCHeading">
    <w:name w:val="TOC Heading"/>
    <w:basedOn w:val="Heading1"/>
    <w:next w:val="Normal"/>
    <w:uiPriority w:val="39"/>
    <w:unhideWhenUsed/>
    <w:qFormat/>
    <w:rsid w:val="00200B8B"/>
    <w:pPr>
      <w:keepLines/>
      <w:numPr>
        <w:numId w:val="0"/>
      </w:numPr>
      <w:spacing w:before="480" w:after="0"/>
      <w:outlineLvl w:val="9"/>
    </w:pPr>
    <w:rPr>
      <w:rFonts w:eastAsiaTheme="majorEastAsia" w:cstheme="majorBidi"/>
    </w:rPr>
  </w:style>
  <w:style w:type="character" w:styleId="Hyperlink">
    <w:name w:val="Hyperlink"/>
    <w:basedOn w:val="DefaultParagraphFont"/>
    <w:uiPriority w:val="99"/>
    <w:unhideWhenUsed/>
    <w:rsid w:val="00200B8B"/>
    <w:rPr>
      <w:color w:val="0000FF" w:themeColor="hyperlink"/>
      <w:u w:val="single"/>
    </w:rPr>
  </w:style>
  <w:style w:type="character" w:styleId="CommentReference">
    <w:name w:val="annotation reference"/>
    <w:basedOn w:val="DefaultParagraphFont"/>
    <w:semiHidden/>
    <w:unhideWhenUsed/>
    <w:rsid w:val="00327752"/>
    <w:rPr>
      <w:sz w:val="16"/>
      <w:szCs w:val="16"/>
    </w:rPr>
  </w:style>
  <w:style w:type="paragraph" w:styleId="CommentText">
    <w:name w:val="annotation text"/>
    <w:basedOn w:val="Normal"/>
    <w:link w:val="CommentTextChar"/>
    <w:semiHidden/>
    <w:unhideWhenUsed/>
    <w:rsid w:val="00327752"/>
    <w:pPr>
      <w:spacing w:line="240" w:lineRule="auto"/>
    </w:pPr>
    <w:rPr>
      <w:sz w:val="20"/>
      <w:szCs w:val="20"/>
    </w:rPr>
  </w:style>
  <w:style w:type="character" w:customStyle="1" w:styleId="CommentTextChar">
    <w:name w:val="Comment Text Char"/>
    <w:basedOn w:val="DefaultParagraphFont"/>
    <w:link w:val="CommentText"/>
    <w:semiHidden/>
    <w:rsid w:val="00327752"/>
    <w:rPr>
      <w:rFonts w:ascii="Arial" w:hAnsi="Arial" w:cs="Arial"/>
      <w:color w:val="000000"/>
    </w:rPr>
  </w:style>
  <w:style w:type="paragraph" w:styleId="CommentSubject">
    <w:name w:val="annotation subject"/>
    <w:basedOn w:val="CommentText"/>
    <w:next w:val="CommentText"/>
    <w:link w:val="CommentSubjectChar"/>
    <w:uiPriority w:val="99"/>
    <w:semiHidden/>
    <w:unhideWhenUsed/>
    <w:rsid w:val="00327752"/>
    <w:rPr>
      <w:b/>
      <w:bCs/>
    </w:rPr>
  </w:style>
  <w:style w:type="character" w:customStyle="1" w:styleId="CommentSubjectChar">
    <w:name w:val="Comment Subject Char"/>
    <w:basedOn w:val="CommentTextChar"/>
    <w:link w:val="CommentSubject"/>
    <w:uiPriority w:val="99"/>
    <w:semiHidden/>
    <w:rsid w:val="00327752"/>
    <w:rPr>
      <w:rFonts w:ascii="Arial" w:hAnsi="Arial" w:cs="Arial"/>
      <w:b/>
      <w:bCs/>
      <w:color w:val="000000"/>
    </w:rPr>
  </w:style>
  <w:style w:type="character" w:styleId="UnresolvedMention">
    <w:name w:val="Unresolved Mention"/>
    <w:basedOn w:val="DefaultParagraphFont"/>
    <w:uiPriority w:val="99"/>
    <w:semiHidden/>
    <w:unhideWhenUsed/>
    <w:rsid w:val="004B791E"/>
    <w:rPr>
      <w:color w:val="808080"/>
      <w:shd w:val="clear" w:color="auto" w:fill="E6E6E6"/>
    </w:rPr>
  </w:style>
  <w:style w:type="paragraph" w:customStyle="1" w:styleId="Default">
    <w:name w:val="Default"/>
    <w:rsid w:val="000D26D1"/>
    <w:pPr>
      <w:autoSpaceDE w:val="0"/>
      <w:autoSpaceDN w:val="0"/>
      <w:adjustRightInd w:val="0"/>
    </w:pPr>
    <w:rPr>
      <w:rFonts w:ascii="Arial" w:eastAsiaTheme="minorHAnsi" w:hAnsi="Arial" w:cs="Arial"/>
      <w:color w:val="000000"/>
      <w:sz w:val="24"/>
      <w:szCs w:val="24"/>
      <w:lang w:val="en-GB"/>
    </w:rPr>
  </w:style>
  <w:style w:type="paragraph" w:styleId="ListParagraph">
    <w:name w:val="List Paragraph"/>
    <w:basedOn w:val="Normal"/>
    <w:uiPriority w:val="34"/>
    <w:qFormat/>
    <w:rsid w:val="00AF23B2"/>
    <w:pPr>
      <w:spacing w:before="0" w:after="200" w:line="276" w:lineRule="auto"/>
      <w:ind w:left="720"/>
      <w:contextualSpacing/>
    </w:pPr>
    <w:rPr>
      <w:rFonts w:eastAsiaTheme="minorHAnsi" w:cstheme="minorBidi"/>
      <w:color w:val="auto"/>
      <w:sz w:val="24"/>
    </w:rPr>
  </w:style>
  <w:style w:type="paragraph" w:styleId="FootnoteText">
    <w:name w:val="footnote text"/>
    <w:basedOn w:val="Normal"/>
    <w:link w:val="FootnoteTextChar"/>
    <w:uiPriority w:val="99"/>
    <w:semiHidden/>
    <w:unhideWhenUsed/>
    <w:rsid w:val="00C502DF"/>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C502DF"/>
    <w:rPr>
      <w:rFonts w:ascii="Arial" w:hAnsi="Arial" w:cs="Arial"/>
      <w:color w:val="000000"/>
      <w:lang w:val="en-GB"/>
    </w:rPr>
  </w:style>
  <w:style w:type="character" w:styleId="FootnoteReference">
    <w:name w:val="footnote reference"/>
    <w:basedOn w:val="DefaultParagraphFont"/>
    <w:uiPriority w:val="99"/>
    <w:semiHidden/>
    <w:unhideWhenUsed/>
    <w:rsid w:val="00C502DF"/>
    <w:rPr>
      <w:vertAlign w:val="superscript"/>
    </w:rPr>
  </w:style>
  <w:style w:type="character" w:styleId="FollowedHyperlink">
    <w:name w:val="FollowedHyperlink"/>
    <w:basedOn w:val="DefaultParagraphFont"/>
    <w:uiPriority w:val="99"/>
    <w:semiHidden/>
    <w:unhideWhenUsed/>
    <w:rsid w:val="001872E3"/>
    <w:rPr>
      <w:color w:val="800080" w:themeColor="followedHyperlink"/>
      <w:u w:val="single"/>
    </w:rPr>
  </w:style>
  <w:style w:type="paragraph" w:styleId="NoSpacing">
    <w:name w:val="No Spacing"/>
    <w:uiPriority w:val="1"/>
    <w:qFormat/>
    <w:rsid w:val="00D916F1"/>
    <w:rPr>
      <w:rFonts w:ascii="Arial" w:eastAsia="Times New Roman" w:hAnsi="Arial" w:cs="Arial"/>
      <w:w w:val="9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88771">
      <w:bodyDiv w:val="1"/>
      <w:marLeft w:val="0"/>
      <w:marRight w:val="0"/>
      <w:marTop w:val="0"/>
      <w:marBottom w:val="0"/>
      <w:divBdr>
        <w:top w:val="none" w:sz="0" w:space="0" w:color="auto"/>
        <w:left w:val="none" w:sz="0" w:space="0" w:color="auto"/>
        <w:bottom w:val="none" w:sz="0" w:space="0" w:color="auto"/>
        <w:right w:val="none" w:sz="0" w:space="0" w:color="auto"/>
      </w:divBdr>
    </w:div>
    <w:div w:id="1764184711">
      <w:bodyDiv w:val="1"/>
      <w:marLeft w:val="0"/>
      <w:marRight w:val="0"/>
      <w:marTop w:val="0"/>
      <w:marBottom w:val="0"/>
      <w:divBdr>
        <w:top w:val="none" w:sz="0" w:space="0" w:color="auto"/>
        <w:left w:val="none" w:sz="0" w:space="0" w:color="auto"/>
        <w:bottom w:val="none" w:sz="0" w:space="0" w:color="auto"/>
        <w:right w:val="none" w:sz="0" w:space="0" w:color="auto"/>
      </w:divBdr>
    </w:div>
    <w:div w:id="17863408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the-general-data-protection-regulation-gdpr/principl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jpg"/><Relationship Id="rId7" Type="http://schemas.openxmlformats.org/officeDocument/2006/relationships/settings" Target="settings.xml"/><Relationship Id="rId12" Type="http://schemas.openxmlformats.org/officeDocument/2006/relationships/image" Target="cid:image004.png@01D68B54.E0401C6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gt.hscic.gov.uk/Caldicott2Principles.aspx" TargetMode="External"/><Relationship Id="rId2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9A507E39D6E4AA835FDF5B3D749A5" ma:contentTypeVersion="13" ma:contentTypeDescription="Create a new document." ma:contentTypeScope="" ma:versionID="97c37482b3fb07af9ef7cde14e26540b">
  <xsd:schema xmlns:xsd="http://www.w3.org/2001/XMLSchema" xmlns:xs="http://www.w3.org/2001/XMLSchema" xmlns:p="http://schemas.microsoft.com/office/2006/metadata/properties" xmlns:ns3="0a371a8e-be07-4c4c-9f9e-86a6627d8b76" xmlns:ns4="eeccff92-d70e-4d45-8ef9-54eea3076db8" targetNamespace="http://schemas.microsoft.com/office/2006/metadata/properties" ma:root="true" ma:fieldsID="252e689047748bea4e0e0dba32c7d6fb" ns3:_="" ns4:_="">
    <xsd:import namespace="0a371a8e-be07-4c4c-9f9e-86a6627d8b76"/>
    <xsd:import namespace="eeccff92-d70e-4d45-8ef9-54eea3076d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71a8e-be07-4c4c-9f9e-86a6627d8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ccff92-d70e-4d45-8ef9-54eea3076d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F430C-71E2-43D2-898A-91ACFFEAE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71a8e-be07-4c4c-9f9e-86a6627d8b76"/>
    <ds:schemaRef ds:uri="eeccff92-d70e-4d45-8ef9-54eea3076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87C04-D3B4-46A3-9733-FBF4F7F8ED84}">
  <ds:schemaRefs>
    <ds:schemaRef ds:uri="http://schemas.microsoft.com/sharepoint/v3/contenttype/forms"/>
  </ds:schemaRefs>
</ds:datastoreItem>
</file>

<file path=customXml/itemProps3.xml><?xml version="1.0" encoding="utf-8"?>
<ds:datastoreItem xmlns:ds="http://schemas.openxmlformats.org/officeDocument/2006/customXml" ds:itemID="{BEEBFE21-7849-4178-83E3-403D2EE60C65}">
  <ds:schemaRefs>
    <ds:schemaRef ds:uri="http://schemas.microsoft.com/office/2006/metadata/properties"/>
    <ds:schemaRef ds:uri="eeccff92-d70e-4d45-8ef9-54eea3076db8"/>
    <ds:schemaRef ds:uri="http://purl.org/dc/dcmitype/"/>
    <ds:schemaRef ds:uri="http://purl.org/dc/terms/"/>
    <ds:schemaRef ds:uri="http://schemas.microsoft.com/office/2006/documentManagement/types"/>
    <ds:schemaRef ds:uri="http://schemas.openxmlformats.org/package/2006/metadata/core-properties"/>
    <ds:schemaRef ds:uri="0a371a8e-be07-4c4c-9f9e-86a6627d8b76"/>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686FCA8-133A-48FD-9FCD-C110E2CD9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8520</Words>
  <Characters>48565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Barnet Council - The Print Company</Company>
  <LinksUpToDate>false</LinksUpToDate>
  <CharactersWithSpaces>56972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Harewood</dc:creator>
  <cp:lastModifiedBy>Alison Renouf</cp:lastModifiedBy>
  <cp:revision>19</cp:revision>
  <cp:lastPrinted>2014-04-08T13:31:00Z</cp:lastPrinted>
  <dcterms:created xsi:type="dcterms:W3CDTF">2020-12-13T18:47:00Z</dcterms:created>
  <dcterms:modified xsi:type="dcterms:W3CDTF">2020-12-18T18:10:00Z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0x0101000BF9A507E39D6E4AA835FDF5B3D749A5</vt:lpwstr>
  </property>
  <property fmtid="{D5CDD505-2E9C-101B-9397-08002B2CF9AE}" pid="4" name="MSIP_Label_df7c5495-78f6-43f5-a244-bc220efa91b9_Enabled">
    <vt:lpwstr>True</vt:lpwstr>
  </property>
  <property fmtid="{D5CDD505-2E9C-101B-9397-08002B2CF9AE}" pid="5" name="MSIP_Label_df7c5495-78f6-43f5-a244-bc220efa91b9_SiteId">
    <vt:lpwstr>42f52aad-46ec-41f5-8eae-8c36039cffe8</vt:lpwstr>
  </property>
  <property fmtid="{D5CDD505-2E9C-101B-9397-08002B2CF9AE}" pid="6" name="MSIP_Label_df7c5495-78f6-43f5-a244-bc220efa91b9_Owner">
    <vt:lpwstr>steve.durbin@excathedra.solutions</vt:lpwstr>
  </property>
  <property fmtid="{D5CDD505-2E9C-101B-9397-08002B2CF9AE}" pid="7" name="MSIP_Label_df7c5495-78f6-43f5-a244-bc220efa91b9_SetDate">
    <vt:lpwstr>2020-10-30T12:11:25.9246430Z</vt:lpwstr>
  </property>
  <property fmtid="{D5CDD505-2E9C-101B-9397-08002B2CF9AE}" pid="8" name="MSIP_Label_df7c5495-78f6-43f5-a244-bc220efa91b9_Name">
    <vt:lpwstr>Internal</vt:lpwstr>
  </property>
  <property fmtid="{D5CDD505-2E9C-101B-9397-08002B2CF9AE}" pid="9" name="MSIP_Label_df7c5495-78f6-43f5-a244-bc220efa91b9_Application">
    <vt:lpwstr>Microsoft Azure Information Protection</vt:lpwstr>
  </property>
  <property fmtid="{D5CDD505-2E9C-101B-9397-08002B2CF9AE}" pid="10" name="MSIP_Label_df7c5495-78f6-43f5-a244-bc220efa91b9_ActionId">
    <vt:lpwstr>94326679-4a58-4d61-be0e-423e5fa05c5f</vt:lpwstr>
  </property>
  <property fmtid="{D5CDD505-2E9C-101B-9397-08002B2CF9AE}" pid="11" name="MSIP_Label_df7c5495-78f6-43f5-a244-bc220efa91b9_Extended_MSFT_Method">
    <vt:lpwstr>Automatic</vt:lpwstr>
  </property>
  <property fmtid="{D5CDD505-2E9C-101B-9397-08002B2CF9AE}" pid="12" name="MSIP_Label_4f2e6ff0-a85d-4496-8902-aaf2bdaa0503_Enabled">
    <vt:lpwstr>True</vt:lpwstr>
  </property>
  <property fmtid="{D5CDD505-2E9C-101B-9397-08002B2CF9AE}" pid="13" name="MSIP_Label_4f2e6ff0-a85d-4496-8902-aaf2bdaa0503_SiteId">
    <vt:lpwstr>42f52aad-46ec-41f5-8eae-8c36039cffe8</vt:lpwstr>
  </property>
  <property fmtid="{D5CDD505-2E9C-101B-9397-08002B2CF9AE}" pid="14" name="MSIP_Label_4f2e6ff0-a85d-4496-8902-aaf2bdaa0503_Owner">
    <vt:lpwstr>steve.durbin@excathedra.solutions</vt:lpwstr>
  </property>
  <property fmtid="{D5CDD505-2E9C-101B-9397-08002B2CF9AE}" pid="15" name="MSIP_Label_4f2e6ff0-a85d-4496-8902-aaf2bdaa0503_SetDate">
    <vt:lpwstr>2020-10-30T12:11:25.9246430Z</vt:lpwstr>
  </property>
  <property fmtid="{D5CDD505-2E9C-101B-9397-08002B2CF9AE}" pid="16" name="MSIP_Label_4f2e6ff0-a85d-4496-8902-aaf2bdaa0503_Name">
    <vt:lpwstr>OFFICIAL</vt:lpwstr>
  </property>
  <property fmtid="{D5CDD505-2E9C-101B-9397-08002B2CF9AE}" pid="17" name="MSIP_Label_4f2e6ff0-a85d-4496-8902-aaf2bdaa0503_Application">
    <vt:lpwstr>Microsoft Azure Information Protection</vt:lpwstr>
  </property>
  <property fmtid="{D5CDD505-2E9C-101B-9397-08002B2CF9AE}" pid="18" name="MSIP_Label_4f2e6ff0-a85d-4496-8902-aaf2bdaa0503_ActionId">
    <vt:lpwstr>94326679-4a58-4d61-be0e-423e5fa05c5f</vt:lpwstr>
  </property>
  <property fmtid="{D5CDD505-2E9C-101B-9397-08002B2CF9AE}" pid="19" name="MSIP_Label_4f2e6ff0-a85d-4496-8902-aaf2bdaa0503_Parent">
    <vt:lpwstr>df7c5495-78f6-43f5-a244-bc220efa91b9</vt:lpwstr>
  </property>
  <property fmtid="{D5CDD505-2E9C-101B-9397-08002B2CF9AE}" pid="20" name="MSIP_Label_4f2e6ff0-a85d-4496-8902-aaf2bdaa0503_Extended_MSFT_Method">
    <vt:lpwstr>Automatic</vt:lpwstr>
  </property>
  <property fmtid="{D5CDD505-2E9C-101B-9397-08002B2CF9AE}" pid="21" name="Sensitivity">
    <vt:lpwstr>Internal OFFICIAL</vt:lpwstr>
  </property>
</Properties>
</file>